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AEC3" w14:textId="77777777" w:rsidR="005F4F50" w:rsidRDefault="005F4F50" w:rsidP="000E1710">
      <w:pPr>
        <w:tabs>
          <w:tab w:val="left" w:pos="7797"/>
        </w:tabs>
        <w:ind w:right="1693"/>
        <w:rPr>
          <w:rFonts w:cs="Arial"/>
          <w:b/>
          <w:sz w:val="28"/>
          <w:szCs w:val="28"/>
          <w:lang w:val="en-GB"/>
        </w:rPr>
      </w:pPr>
    </w:p>
    <w:p w14:paraId="3DA0EEC9" w14:textId="2A54DEBC" w:rsidR="000F039C" w:rsidRPr="00060F72" w:rsidRDefault="000F039C" w:rsidP="000E1710">
      <w:pPr>
        <w:tabs>
          <w:tab w:val="left" w:pos="7797"/>
        </w:tabs>
        <w:ind w:right="1693"/>
        <w:rPr>
          <w:rFonts w:cs="Arial"/>
          <w:b/>
          <w:sz w:val="28"/>
          <w:szCs w:val="28"/>
          <w:lang w:val="en-GB"/>
        </w:rPr>
      </w:pPr>
      <w:bookmarkStart w:id="0" w:name="_GoBack"/>
      <w:r w:rsidRPr="00060F72">
        <w:rPr>
          <w:rFonts w:cs="Arial"/>
          <w:b/>
          <w:sz w:val="28"/>
          <w:szCs w:val="28"/>
          <w:lang w:val="en-GB"/>
        </w:rPr>
        <w:t>TGW achieves highest turnover in its company history</w:t>
      </w:r>
    </w:p>
    <w:bookmarkEnd w:id="0"/>
    <w:p w14:paraId="61F5736D" w14:textId="77777777" w:rsidR="00E95184" w:rsidRPr="00060F72" w:rsidRDefault="00E95184" w:rsidP="000F039C">
      <w:pPr>
        <w:tabs>
          <w:tab w:val="left" w:pos="7797"/>
        </w:tabs>
        <w:ind w:right="1693"/>
        <w:jc w:val="both"/>
        <w:rPr>
          <w:rFonts w:cs="Arial"/>
          <w:b/>
          <w:sz w:val="22"/>
          <w:lang w:val="en-GB"/>
        </w:rPr>
      </w:pPr>
    </w:p>
    <w:p w14:paraId="205A17B5" w14:textId="77777777" w:rsidR="00E63E18" w:rsidRPr="00060F72" w:rsidRDefault="000F039C" w:rsidP="005F4F50">
      <w:pPr>
        <w:pStyle w:val="Listenabsatz"/>
        <w:numPr>
          <w:ilvl w:val="0"/>
          <w:numId w:val="24"/>
        </w:numPr>
        <w:tabs>
          <w:tab w:val="left" w:pos="7797"/>
        </w:tabs>
        <w:ind w:right="1693"/>
        <w:rPr>
          <w:rFonts w:cs="Arial"/>
          <w:b/>
          <w:sz w:val="22"/>
          <w:lang w:val="en-GB"/>
        </w:rPr>
      </w:pPr>
      <w:r w:rsidRPr="00060F72">
        <w:rPr>
          <w:rFonts w:cs="Arial"/>
          <w:b/>
          <w:sz w:val="22"/>
          <w:lang w:val="en-GB"/>
        </w:rPr>
        <w:t>Turnover increases to 835.8 million euros and attains a new maximum in the fifty-year history of the company</w:t>
      </w:r>
    </w:p>
    <w:p w14:paraId="3B4C3EF0" w14:textId="77777777" w:rsidR="001A08BF" w:rsidRPr="00060F72" w:rsidRDefault="00142D57" w:rsidP="005F4F50">
      <w:pPr>
        <w:pStyle w:val="Listenabsatz"/>
        <w:numPr>
          <w:ilvl w:val="0"/>
          <w:numId w:val="24"/>
        </w:numPr>
        <w:tabs>
          <w:tab w:val="left" w:pos="7797"/>
        </w:tabs>
        <w:ind w:right="1693"/>
        <w:rPr>
          <w:rFonts w:cs="Arial"/>
          <w:b/>
          <w:szCs w:val="20"/>
          <w:lang w:val="en-GB"/>
        </w:rPr>
      </w:pPr>
      <w:r w:rsidRPr="00060F72">
        <w:rPr>
          <w:rFonts w:cs="Arial"/>
          <w:b/>
          <w:sz w:val="22"/>
          <w:lang w:val="en-GB"/>
        </w:rPr>
        <w:t>Number of employees has grown by 250 to the current figure of 3,667</w:t>
      </w:r>
      <w:r w:rsidRPr="00060F72">
        <w:rPr>
          <w:rFonts w:cs="Arial"/>
          <w:b/>
          <w:sz w:val="18"/>
          <w:szCs w:val="18"/>
          <w:lang w:val="en-GB"/>
        </w:rPr>
        <w:t xml:space="preserve"> (as of 30 June 2020)</w:t>
      </w:r>
    </w:p>
    <w:p w14:paraId="77176243" w14:textId="689DBEDF" w:rsidR="00C31CEB" w:rsidRPr="00060F72" w:rsidRDefault="00C31CEB" w:rsidP="005F4F50">
      <w:pPr>
        <w:pStyle w:val="Listenabsatz"/>
        <w:numPr>
          <w:ilvl w:val="0"/>
          <w:numId w:val="24"/>
        </w:numPr>
        <w:tabs>
          <w:tab w:val="left" w:pos="7797"/>
        </w:tabs>
        <w:ind w:right="1693"/>
        <w:rPr>
          <w:rFonts w:cs="Arial"/>
          <w:b/>
          <w:szCs w:val="20"/>
          <w:lang w:val="en-GB"/>
        </w:rPr>
      </w:pPr>
      <w:r w:rsidRPr="00060F72">
        <w:rPr>
          <w:rFonts w:cs="Arial"/>
          <w:b/>
          <w:sz w:val="22"/>
          <w:lang w:val="en-GB"/>
        </w:rPr>
        <w:t xml:space="preserve">TGW is accepting more than 400 new employees in the current </w:t>
      </w:r>
      <w:r w:rsidR="00357D7A">
        <w:rPr>
          <w:rFonts w:cs="Arial"/>
          <w:b/>
          <w:sz w:val="22"/>
          <w:lang w:val="en-GB"/>
        </w:rPr>
        <w:t>financial</w:t>
      </w:r>
      <w:r w:rsidRPr="00060F72">
        <w:rPr>
          <w:rFonts w:cs="Arial"/>
          <w:b/>
          <w:sz w:val="22"/>
          <w:lang w:val="en-GB"/>
        </w:rPr>
        <w:t xml:space="preserve"> year</w:t>
      </w:r>
    </w:p>
    <w:p w14:paraId="5721A5D1" w14:textId="77777777" w:rsidR="007F66BF" w:rsidRPr="00060F72" w:rsidRDefault="007F66BF" w:rsidP="005F4F50">
      <w:pPr>
        <w:pStyle w:val="Listenabsatz"/>
        <w:numPr>
          <w:ilvl w:val="0"/>
          <w:numId w:val="24"/>
        </w:numPr>
        <w:tabs>
          <w:tab w:val="left" w:pos="7797"/>
        </w:tabs>
        <w:ind w:right="1693"/>
        <w:rPr>
          <w:rFonts w:cs="Arial"/>
          <w:b/>
          <w:sz w:val="22"/>
          <w:lang w:val="en-GB"/>
        </w:rPr>
      </w:pPr>
      <w:r w:rsidRPr="00060F72">
        <w:rPr>
          <w:rFonts w:cs="Arial"/>
          <w:b/>
          <w:sz w:val="22"/>
          <w:lang w:val="en-GB"/>
        </w:rPr>
        <w:t>EBIT is increasing to 37.1 million euros</w:t>
      </w:r>
    </w:p>
    <w:p w14:paraId="40E317F8" w14:textId="77777777" w:rsidR="002D4595" w:rsidRPr="00060F72" w:rsidRDefault="002D4595" w:rsidP="00A9753C">
      <w:pPr>
        <w:tabs>
          <w:tab w:val="left" w:pos="2514"/>
          <w:tab w:val="left" w:pos="7797"/>
        </w:tabs>
        <w:ind w:right="1693"/>
        <w:rPr>
          <w:rFonts w:cs="Arial"/>
          <w:b/>
          <w:szCs w:val="20"/>
          <w:lang w:val="en-GB"/>
        </w:rPr>
      </w:pPr>
    </w:p>
    <w:p w14:paraId="631B6526" w14:textId="7D6FC6C8" w:rsidR="0052724A" w:rsidRPr="00060F72" w:rsidRDefault="00A93BE5" w:rsidP="000F039C">
      <w:pPr>
        <w:tabs>
          <w:tab w:val="left" w:pos="7797"/>
        </w:tabs>
        <w:ind w:right="1693"/>
        <w:jc w:val="both"/>
        <w:rPr>
          <w:rFonts w:cs="Arial"/>
          <w:b/>
          <w:szCs w:val="20"/>
          <w:lang w:val="en-GB"/>
        </w:rPr>
      </w:pPr>
      <w:r w:rsidRPr="00060F72">
        <w:rPr>
          <w:rFonts w:cs="Arial"/>
          <w:b/>
          <w:szCs w:val="20"/>
          <w:lang w:val="en-GB"/>
        </w:rPr>
        <w:t xml:space="preserve">(Marchtrenk, Austria, 25 September 2020) The TGW Logistics Group with headquarters in Marchtrenk has successfully completed its 2019-20 </w:t>
      </w:r>
      <w:r w:rsidR="00357D7A">
        <w:rPr>
          <w:rFonts w:cs="Arial"/>
          <w:b/>
          <w:szCs w:val="20"/>
          <w:lang w:val="en-GB"/>
        </w:rPr>
        <w:t>financial</w:t>
      </w:r>
      <w:r w:rsidRPr="00060F72">
        <w:rPr>
          <w:rFonts w:cs="Arial"/>
          <w:b/>
          <w:szCs w:val="20"/>
          <w:lang w:val="en-GB"/>
        </w:rPr>
        <w:t xml:space="preserve"> year (1 July 2019 through 30 June 2020). The turnover of the internationally active intralogistics specialist has grown from 719 million to 835.8 million euros. This means that the company has set a new record for highest turnover in its fifty-year history. The number of employees has also increased significantly. The company has added more than 250, reaching a total of 3,667. Thus, </w:t>
      </w:r>
      <w:r w:rsidR="0045478F">
        <w:rPr>
          <w:rFonts w:cs="Arial"/>
          <w:b/>
          <w:szCs w:val="20"/>
          <w:lang w:val="en-GB"/>
        </w:rPr>
        <w:t xml:space="preserve">TGW is </w:t>
      </w:r>
      <w:r w:rsidRPr="00060F72">
        <w:rPr>
          <w:rFonts w:cs="Arial"/>
          <w:b/>
          <w:szCs w:val="20"/>
          <w:lang w:val="en-GB"/>
        </w:rPr>
        <w:t>continuing the trend of stable growth that we have had over the last few years.</w:t>
      </w:r>
    </w:p>
    <w:p w14:paraId="2D045DC3" w14:textId="77777777" w:rsidR="00A93BE5" w:rsidRPr="00060F72" w:rsidRDefault="00A93BE5" w:rsidP="000F039C">
      <w:pPr>
        <w:tabs>
          <w:tab w:val="left" w:pos="7797"/>
        </w:tabs>
        <w:ind w:right="1693"/>
        <w:jc w:val="both"/>
        <w:rPr>
          <w:rFonts w:cs="Arial"/>
          <w:szCs w:val="20"/>
          <w:lang w:val="en-GB"/>
        </w:rPr>
      </w:pPr>
    </w:p>
    <w:p w14:paraId="1B8DDE74" w14:textId="4A2E2B2E" w:rsidR="00F23766" w:rsidRPr="00060F72" w:rsidRDefault="00314FF1" w:rsidP="000F039C">
      <w:pPr>
        <w:tabs>
          <w:tab w:val="left" w:pos="7797"/>
        </w:tabs>
        <w:ind w:right="1693"/>
        <w:jc w:val="both"/>
        <w:rPr>
          <w:rFonts w:cs="Arial"/>
          <w:szCs w:val="20"/>
          <w:lang w:val="en-GB"/>
        </w:rPr>
      </w:pPr>
      <w:r w:rsidRPr="00060F72">
        <w:rPr>
          <w:rFonts w:cs="Arial"/>
          <w:szCs w:val="20"/>
          <w:lang w:val="en-GB"/>
        </w:rPr>
        <w:t xml:space="preserve">In the 2019-20 </w:t>
      </w:r>
      <w:r w:rsidR="00357D7A">
        <w:rPr>
          <w:rFonts w:cs="Arial"/>
          <w:szCs w:val="20"/>
          <w:lang w:val="en-GB"/>
        </w:rPr>
        <w:t>financial</w:t>
      </w:r>
      <w:r w:rsidRPr="00060F72">
        <w:rPr>
          <w:rFonts w:cs="Arial"/>
          <w:szCs w:val="20"/>
          <w:lang w:val="en-GB"/>
        </w:rPr>
        <w:t xml:space="preserve"> year, the intralogistics specialist TGW recorded commissions received at a total volume of 822 million euros – in Europe, the United States and China. As Harald Schröpf, CEO of TGW Logistics Group, emphasises,</w:t>
      </w:r>
    </w:p>
    <w:p w14:paraId="2C9BCF19" w14:textId="77777777" w:rsidR="00F23766" w:rsidRPr="00060F72" w:rsidRDefault="00F23766" w:rsidP="000F039C">
      <w:pPr>
        <w:tabs>
          <w:tab w:val="left" w:pos="7797"/>
        </w:tabs>
        <w:ind w:right="1693"/>
        <w:jc w:val="both"/>
        <w:rPr>
          <w:rFonts w:cs="Arial"/>
          <w:szCs w:val="20"/>
          <w:lang w:val="en-GB"/>
        </w:rPr>
      </w:pPr>
    </w:p>
    <w:p w14:paraId="7064CC71" w14:textId="06FE7280" w:rsidR="000F039C" w:rsidRPr="00060F72" w:rsidRDefault="00F23766" w:rsidP="00142D57">
      <w:pPr>
        <w:tabs>
          <w:tab w:val="left" w:pos="6237"/>
        </w:tabs>
        <w:ind w:left="709" w:right="2402"/>
        <w:jc w:val="both"/>
        <w:rPr>
          <w:rFonts w:cs="Arial"/>
          <w:i/>
          <w:szCs w:val="20"/>
          <w:lang w:val="en-GB"/>
        </w:rPr>
      </w:pPr>
      <w:r w:rsidRPr="00060F72">
        <w:rPr>
          <w:rFonts w:cs="Arial"/>
          <w:i/>
          <w:szCs w:val="20"/>
          <w:lang w:val="en-GB"/>
        </w:rPr>
        <w:t xml:space="preserve">"Many companies commissioned TGW with the automation of their intralogistics over the past </w:t>
      </w:r>
      <w:r w:rsidR="00357D7A">
        <w:rPr>
          <w:rFonts w:cs="Arial"/>
          <w:i/>
          <w:szCs w:val="20"/>
          <w:lang w:val="en-GB"/>
        </w:rPr>
        <w:t>financial</w:t>
      </w:r>
      <w:r w:rsidRPr="00060F72">
        <w:rPr>
          <w:rFonts w:cs="Arial"/>
          <w:i/>
          <w:szCs w:val="20"/>
          <w:lang w:val="en-GB"/>
        </w:rPr>
        <w:t xml:space="preserve"> year – from Urban Outfitters to Zalando and even the Austrian fashion dealer Personalshop. We were able to increase our turnover by 16 percent compared to the previous year and attained 835.8 million euros – a new record amount in the history of our company."</w:t>
      </w:r>
    </w:p>
    <w:p w14:paraId="66040D80" w14:textId="77777777" w:rsidR="006B47AA" w:rsidRPr="00060F72" w:rsidRDefault="006B47AA" w:rsidP="00142D57">
      <w:pPr>
        <w:tabs>
          <w:tab w:val="left" w:pos="6237"/>
        </w:tabs>
        <w:ind w:left="709" w:right="2402"/>
        <w:jc w:val="both"/>
        <w:rPr>
          <w:rFonts w:cs="Arial"/>
          <w:i/>
          <w:sz w:val="18"/>
          <w:szCs w:val="18"/>
          <w:lang w:val="en-GB"/>
        </w:rPr>
      </w:pPr>
    </w:p>
    <w:p w14:paraId="4486CA7B" w14:textId="77777777" w:rsidR="006B47AA" w:rsidRPr="00060F72" w:rsidRDefault="0003447B" w:rsidP="006B47AA">
      <w:pPr>
        <w:tabs>
          <w:tab w:val="left" w:pos="6237"/>
        </w:tabs>
        <w:ind w:right="2402"/>
        <w:jc w:val="both"/>
        <w:rPr>
          <w:rFonts w:cs="Arial"/>
          <w:b/>
          <w:sz w:val="18"/>
          <w:szCs w:val="18"/>
          <w:lang w:val="en-GB"/>
        </w:rPr>
      </w:pPr>
      <w:r w:rsidRPr="00060F72">
        <w:rPr>
          <w:rFonts w:cs="Arial"/>
          <w:b/>
          <w:sz w:val="18"/>
          <w:szCs w:val="18"/>
          <w:lang w:val="en-GB"/>
        </w:rPr>
        <w:t>Increase of the EBIT and employee participation</w:t>
      </w:r>
    </w:p>
    <w:p w14:paraId="0212A881" w14:textId="77777777" w:rsidR="0050308A" w:rsidRPr="00060F72" w:rsidRDefault="0050308A" w:rsidP="00886389">
      <w:pPr>
        <w:tabs>
          <w:tab w:val="left" w:pos="7797"/>
        </w:tabs>
        <w:ind w:right="1693"/>
        <w:jc w:val="both"/>
        <w:rPr>
          <w:rFonts w:cs="Arial"/>
          <w:szCs w:val="20"/>
          <w:lang w:val="en-GB"/>
        </w:rPr>
      </w:pPr>
    </w:p>
    <w:p w14:paraId="20D70BD8" w14:textId="0B0462B4" w:rsidR="00836001" w:rsidRPr="00060F72" w:rsidRDefault="00E14AA9" w:rsidP="00886389">
      <w:pPr>
        <w:tabs>
          <w:tab w:val="left" w:pos="7797"/>
        </w:tabs>
        <w:ind w:right="1693"/>
        <w:jc w:val="both"/>
        <w:rPr>
          <w:rFonts w:cs="Arial"/>
          <w:szCs w:val="20"/>
          <w:lang w:val="en-GB"/>
        </w:rPr>
      </w:pPr>
      <w:r w:rsidRPr="00060F72">
        <w:rPr>
          <w:rFonts w:cs="Arial"/>
          <w:szCs w:val="20"/>
          <w:lang w:val="en-GB"/>
        </w:rPr>
        <w:t xml:space="preserve">The EBIT amounts to 37.1 million euros – after 27.9 million over the period of the previous year. This corresponds to an increase of more than 33 percent. As a </w:t>
      </w:r>
      <w:r w:rsidR="006864FF">
        <w:rPr>
          <w:rFonts w:cs="Arial"/>
          <w:szCs w:val="20"/>
          <w:lang w:val="en-GB"/>
        </w:rPr>
        <w:t>foundation-owned company</w:t>
      </w:r>
      <w:r w:rsidRPr="00060F72">
        <w:rPr>
          <w:rFonts w:cs="Arial"/>
          <w:szCs w:val="20"/>
          <w:lang w:val="en-GB"/>
        </w:rPr>
        <w:t xml:space="preserve">, TGW can never be sold. Entrepreneurial action and social responsibility are </w:t>
      </w:r>
      <w:r w:rsidRPr="00060F72">
        <w:rPr>
          <w:rFonts w:cs="Arial"/>
          <w:szCs w:val="20"/>
          <w:lang w:val="en-GB"/>
        </w:rPr>
        <w:lastRenderedPageBreak/>
        <w:t>inseparably linked at TGW. Two-thirds of profits stay in the company and are reinvested – in our employees, our infrastructure and the innovations of tomorrow. Thus, TGW is a stable business partner and reliable employer. In addition, ten percent of profits go to charitable projects of the Future Wings foundation. These projects focus on comprehensive personal development of children and young people.</w:t>
      </w:r>
    </w:p>
    <w:p w14:paraId="74EE3309" w14:textId="77777777" w:rsidR="0003447B" w:rsidRPr="00060F72" w:rsidRDefault="0003447B" w:rsidP="00886389">
      <w:pPr>
        <w:tabs>
          <w:tab w:val="left" w:pos="7797"/>
        </w:tabs>
        <w:ind w:right="1693"/>
        <w:jc w:val="both"/>
        <w:rPr>
          <w:rFonts w:cs="Arial"/>
          <w:szCs w:val="20"/>
          <w:lang w:val="en-GB"/>
        </w:rPr>
      </w:pPr>
    </w:p>
    <w:p w14:paraId="7128E1BE" w14:textId="41C32827" w:rsidR="00480054" w:rsidRPr="00060F72" w:rsidRDefault="00BD36E9" w:rsidP="00886389">
      <w:pPr>
        <w:tabs>
          <w:tab w:val="left" w:pos="7797"/>
        </w:tabs>
        <w:ind w:right="1693"/>
        <w:jc w:val="both"/>
        <w:rPr>
          <w:rFonts w:cs="Arial"/>
          <w:szCs w:val="20"/>
          <w:lang w:val="en-GB"/>
        </w:rPr>
      </w:pPr>
      <w:r w:rsidRPr="00060F72">
        <w:rPr>
          <w:rFonts w:cs="Arial"/>
          <w:szCs w:val="20"/>
          <w:lang w:val="en-GB"/>
        </w:rPr>
        <w:t xml:space="preserve">TGW is paying a dual employee </w:t>
      </w:r>
      <w:r w:rsidR="0045478F">
        <w:rPr>
          <w:rFonts w:cs="Arial"/>
          <w:szCs w:val="20"/>
          <w:lang w:val="en-GB"/>
        </w:rPr>
        <w:t>participation</w:t>
      </w:r>
      <w:r w:rsidRPr="00060F72">
        <w:rPr>
          <w:rFonts w:cs="Arial"/>
          <w:szCs w:val="20"/>
          <w:lang w:val="en-GB"/>
        </w:rPr>
        <w:t xml:space="preserve"> at a total of 4.1 million euros to its employees and is doing so for the third time. In the interest of transparency and fairness, all employees receive the same base amount – regardless of whether they work in Austria, China or the U.S.</w:t>
      </w:r>
    </w:p>
    <w:p w14:paraId="4869316E" w14:textId="77777777" w:rsidR="008E3FA1" w:rsidRPr="00060F72" w:rsidRDefault="00D57984" w:rsidP="00886389">
      <w:pPr>
        <w:tabs>
          <w:tab w:val="left" w:pos="7797"/>
        </w:tabs>
        <w:ind w:right="1693"/>
        <w:jc w:val="both"/>
        <w:rPr>
          <w:rFonts w:cs="Arial"/>
          <w:szCs w:val="20"/>
          <w:lang w:val="en-GB"/>
        </w:rPr>
      </w:pPr>
      <w:r w:rsidRPr="00060F72">
        <w:rPr>
          <w:rFonts w:cs="Arial"/>
          <w:szCs w:val="20"/>
          <w:lang w:val="en-GB"/>
        </w:rPr>
        <w:t xml:space="preserve"> </w:t>
      </w:r>
    </w:p>
    <w:p w14:paraId="069A2919" w14:textId="4E811AC6" w:rsidR="00AE4EDA" w:rsidRPr="00060F72" w:rsidRDefault="009348E3" w:rsidP="00886389">
      <w:pPr>
        <w:tabs>
          <w:tab w:val="left" w:pos="7797"/>
        </w:tabs>
        <w:ind w:right="1693"/>
        <w:jc w:val="both"/>
        <w:rPr>
          <w:rFonts w:cs="Arial"/>
          <w:b/>
          <w:szCs w:val="20"/>
          <w:lang w:val="en-GB"/>
        </w:rPr>
      </w:pPr>
      <w:r w:rsidRPr="00060F72">
        <w:rPr>
          <w:rFonts w:cs="Arial"/>
          <w:b/>
          <w:szCs w:val="20"/>
          <w:lang w:val="en-GB"/>
        </w:rPr>
        <w:t>The figures at a glance</w:t>
      </w:r>
    </w:p>
    <w:p w14:paraId="49ECEF27" w14:textId="77777777" w:rsidR="00182632" w:rsidRPr="00060F72" w:rsidRDefault="00182632" w:rsidP="00886389">
      <w:pPr>
        <w:tabs>
          <w:tab w:val="left" w:pos="7797"/>
        </w:tabs>
        <w:ind w:right="1693"/>
        <w:jc w:val="both"/>
        <w:rPr>
          <w:rFonts w:cs="Arial"/>
          <w:b/>
          <w:szCs w:val="20"/>
          <w:lang w:val="en-GB"/>
        </w:rPr>
      </w:pPr>
    </w:p>
    <w:tbl>
      <w:tblPr>
        <w:tblW w:w="8016" w:type="dxa"/>
        <w:tblCellMar>
          <w:left w:w="0" w:type="dxa"/>
          <w:right w:w="0" w:type="dxa"/>
        </w:tblCellMar>
        <w:tblLook w:val="0420" w:firstRow="1" w:lastRow="0" w:firstColumn="0" w:lastColumn="0" w:noHBand="0" w:noVBand="1"/>
      </w:tblPr>
      <w:tblGrid>
        <w:gridCol w:w="3462"/>
        <w:gridCol w:w="2202"/>
        <w:gridCol w:w="2352"/>
      </w:tblGrid>
      <w:tr w:rsidR="007A7551" w:rsidRPr="007A7551" w14:paraId="488C9799" w14:textId="77777777" w:rsidTr="007A7551">
        <w:trPr>
          <w:trHeight w:val="781"/>
        </w:trPr>
        <w:tc>
          <w:tcPr>
            <w:tcW w:w="3462"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40C71616" w14:textId="77777777" w:rsidR="007A7551" w:rsidRPr="007A7551" w:rsidRDefault="007A7551" w:rsidP="007A7551">
            <w:pPr>
              <w:spacing w:line="240" w:lineRule="auto"/>
              <w:rPr>
                <w:rFonts w:eastAsia="Times New Roman" w:cs="Arial"/>
                <w:sz w:val="36"/>
                <w:szCs w:val="36"/>
              </w:rPr>
            </w:pPr>
            <w:r w:rsidRPr="007A7551">
              <w:rPr>
                <w:rFonts w:eastAsia="Times New Roman" w:cs="Arial"/>
                <w:b/>
                <w:bCs/>
                <w:color w:val="FFFFFF"/>
                <w:kern w:val="24"/>
                <w:sz w:val="30"/>
                <w:szCs w:val="30"/>
              </w:rPr>
              <w:t>Financial year</w:t>
            </w:r>
          </w:p>
        </w:tc>
        <w:tc>
          <w:tcPr>
            <w:tcW w:w="2202"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30A71D8A"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FFFFFF"/>
                <w:kern w:val="24"/>
                <w:sz w:val="30"/>
                <w:szCs w:val="30"/>
              </w:rPr>
              <w:t>2018/2019</w:t>
            </w:r>
          </w:p>
          <w:p w14:paraId="1624FEEB"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FFFFFF"/>
                <w:kern w:val="24"/>
                <w:szCs w:val="20"/>
              </w:rPr>
              <w:t>1 July 18 – 30 June 19</w:t>
            </w:r>
          </w:p>
        </w:tc>
        <w:tc>
          <w:tcPr>
            <w:tcW w:w="2352"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2454314C"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b/>
                <w:bCs/>
                <w:color w:val="FFFFFF"/>
                <w:kern w:val="24"/>
                <w:sz w:val="30"/>
                <w:szCs w:val="30"/>
              </w:rPr>
              <w:t>2019/2020</w:t>
            </w:r>
          </w:p>
          <w:p w14:paraId="4CF405BA"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FFFFFF"/>
                <w:kern w:val="24"/>
                <w:szCs w:val="20"/>
                <w:lang w:val="da-DK"/>
              </w:rPr>
              <w:t>1 July 19 – 30 June 20</w:t>
            </w:r>
          </w:p>
        </w:tc>
      </w:tr>
      <w:tr w:rsidR="007A7551" w:rsidRPr="007A7551" w14:paraId="4EF59E5D" w14:textId="77777777" w:rsidTr="007A7551">
        <w:trPr>
          <w:trHeight w:val="527"/>
        </w:trPr>
        <w:tc>
          <w:tcPr>
            <w:tcW w:w="346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4A0990E" w14:textId="77777777" w:rsidR="007A7551" w:rsidRPr="007A7551" w:rsidRDefault="007A7551" w:rsidP="007A7551">
            <w:pPr>
              <w:spacing w:line="240" w:lineRule="auto"/>
              <w:rPr>
                <w:rFonts w:eastAsia="Times New Roman" w:cs="Arial"/>
                <w:sz w:val="36"/>
                <w:szCs w:val="36"/>
              </w:rPr>
            </w:pPr>
            <w:r w:rsidRPr="007A7551">
              <w:rPr>
                <w:rFonts w:eastAsia="Times New Roman" w:cs="Arial"/>
                <w:b/>
                <w:bCs/>
                <w:color w:val="000000"/>
                <w:kern w:val="24"/>
                <w:sz w:val="28"/>
                <w:szCs w:val="28"/>
              </w:rPr>
              <w:t xml:space="preserve">Turnover </w:t>
            </w:r>
            <w:r w:rsidRPr="007A7551">
              <w:rPr>
                <w:rFonts w:eastAsia="Times New Roman" w:cs="Arial"/>
                <w:color w:val="000000"/>
                <w:kern w:val="24"/>
                <w:szCs w:val="20"/>
              </w:rPr>
              <w:t>(MEUR)</w:t>
            </w:r>
          </w:p>
        </w:tc>
        <w:tc>
          <w:tcPr>
            <w:tcW w:w="220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01C8B13"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000000"/>
                <w:kern w:val="24"/>
                <w:sz w:val="28"/>
                <w:szCs w:val="28"/>
              </w:rPr>
              <w:t>719,6</w:t>
            </w:r>
          </w:p>
        </w:tc>
        <w:tc>
          <w:tcPr>
            <w:tcW w:w="235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2101B56"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b/>
                <w:bCs/>
                <w:color w:val="000000"/>
                <w:kern w:val="24"/>
                <w:sz w:val="28"/>
                <w:szCs w:val="28"/>
              </w:rPr>
              <w:t>835,8</w:t>
            </w:r>
          </w:p>
        </w:tc>
      </w:tr>
      <w:tr w:rsidR="007A7551" w:rsidRPr="007A7551" w14:paraId="389564E1" w14:textId="77777777" w:rsidTr="007A7551">
        <w:trPr>
          <w:trHeight w:val="527"/>
        </w:trPr>
        <w:tc>
          <w:tcPr>
            <w:tcW w:w="34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FC933BF" w14:textId="77777777" w:rsidR="007A7551" w:rsidRPr="007A7551" w:rsidRDefault="007A7551" w:rsidP="007A7551">
            <w:pPr>
              <w:spacing w:line="240" w:lineRule="auto"/>
              <w:rPr>
                <w:rFonts w:eastAsia="Times New Roman" w:cs="Arial"/>
                <w:sz w:val="36"/>
                <w:szCs w:val="36"/>
              </w:rPr>
            </w:pPr>
            <w:r w:rsidRPr="007A7551">
              <w:rPr>
                <w:rFonts w:eastAsia="Times New Roman" w:cs="Arial"/>
                <w:b/>
                <w:bCs/>
                <w:color w:val="000000"/>
                <w:kern w:val="24"/>
                <w:sz w:val="28"/>
                <w:szCs w:val="28"/>
              </w:rPr>
              <w:t xml:space="preserve">EBIT </w:t>
            </w:r>
            <w:r w:rsidRPr="007A7551">
              <w:rPr>
                <w:rFonts w:eastAsia="Times New Roman" w:cs="Arial"/>
                <w:color w:val="000000"/>
                <w:kern w:val="24"/>
                <w:szCs w:val="20"/>
              </w:rPr>
              <w:t>(MEUR)</w:t>
            </w:r>
          </w:p>
        </w:tc>
        <w:tc>
          <w:tcPr>
            <w:tcW w:w="220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4D2F7B0"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000000"/>
                <w:kern w:val="24"/>
                <w:sz w:val="28"/>
                <w:szCs w:val="28"/>
              </w:rPr>
              <w:t>27,9</w:t>
            </w:r>
          </w:p>
        </w:tc>
        <w:tc>
          <w:tcPr>
            <w:tcW w:w="235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C74D17C"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b/>
                <w:bCs/>
                <w:color w:val="000000"/>
                <w:kern w:val="24"/>
                <w:sz w:val="28"/>
                <w:szCs w:val="28"/>
              </w:rPr>
              <w:t>37,1</w:t>
            </w:r>
          </w:p>
        </w:tc>
      </w:tr>
      <w:tr w:rsidR="007A7551" w:rsidRPr="007A7551" w14:paraId="3B819C4D" w14:textId="77777777" w:rsidTr="007A7551">
        <w:trPr>
          <w:trHeight w:val="527"/>
        </w:trPr>
        <w:tc>
          <w:tcPr>
            <w:tcW w:w="346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64BD59E" w14:textId="77777777" w:rsidR="007A7551" w:rsidRPr="007A7551" w:rsidRDefault="007A7551" w:rsidP="007A7551">
            <w:pPr>
              <w:spacing w:line="240" w:lineRule="auto"/>
              <w:rPr>
                <w:rFonts w:eastAsia="Times New Roman" w:cs="Arial"/>
                <w:sz w:val="36"/>
                <w:szCs w:val="36"/>
              </w:rPr>
            </w:pPr>
            <w:r w:rsidRPr="007A7551">
              <w:rPr>
                <w:rFonts w:eastAsia="Times New Roman" w:cs="Arial"/>
                <w:b/>
                <w:bCs/>
                <w:color w:val="000000"/>
                <w:kern w:val="24"/>
                <w:sz w:val="28"/>
                <w:szCs w:val="28"/>
              </w:rPr>
              <w:t xml:space="preserve">Employee Participation </w:t>
            </w:r>
            <w:r w:rsidRPr="007A7551">
              <w:rPr>
                <w:rFonts w:eastAsia="Times New Roman" w:cs="Arial"/>
                <w:color w:val="000000"/>
                <w:kern w:val="24"/>
                <w:szCs w:val="20"/>
              </w:rPr>
              <w:t>(MEUR)</w:t>
            </w:r>
          </w:p>
        </w:tc>
        <w:tc>
          <w:tcPr>
            <w:tcW w:w="220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64EEBFC"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000000"/>
                <w:kern w:val="24"/>
                <w:sz w:val="28"/>
                <w:szCs w:val="28"/>
              </w:rPr>
              <w:t>3,1</w:t>
            </w:r>
          </w:p>
        </w:tc>
        <w:tc>
          <w:tcPr>
            <w:tcW w:w="235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BFF75F"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b/>
                <w:bCs/>
                <w:color w:val="000000"/>
                <w:kern w:val="24"/>
                <w:sz w:val="28"/>
                <w:szCs w:val="28"/>
              </w:rPr>
              <w:t>4,1</w:t>
            </w:r>
          </w:p>
        </w:tc>
      </w:tr>
      <w:tr w:rsidR="007A7551" w:rsidRPr="007A7551" w14:paraId="63FAADCB" w14:textId="77777777" w:rsidTr="007A7551">
        <w:trPr>
          <w:trHeight w:val="527"/>
        </w:trPr>
        <w:tc>
          <w:tcPr>
            <w:tcW w:w="346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65616ED" w14:textId="77777777" w:rsidR="007A7551" w:rsidRPr="007A7551" w:rsidRDefault="007A7551" w:rsidP="007A7551">
            <w:pPr>
              <w:spacing w:line="240" w:lineRule="auto"/>
              <w:rPr>
                <w:rFonts w:eastAsia="Times New Roman" w:cs="Arial"/>
                <w:sz w:val="36"/>
                <w:szCs w:val="36"/>
              </w:rPr>
            </w:pPr>
            <w:r w:rsidRPr="007A7551">
              <w:rPr>
                <w:rFonts w:eastAsia="Times New Roman" w:cs="Arial"/>
                <w:b/>
                <w:bCs/>
                <w:color w:val="000000"/>
                <w:kern w:val="24"/>
                <w:sz w:val="28"/>
                <w:szCs w:val="28"/>
              </w:rPr>
              <w:t>Employees</w:t>
            </w:r>
          </w:p>
        </w:tc>
        <w:tc>
          <w:tcPr>
            <w:tcW w:w="220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FBA83F2"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color w:val="000000"/>
                <w:kern w:val="24"/>
                <w:sz w:val="28"/>
                <w:szCs w:val="28"/>
              </w:rPr>
              <w:t>3.415</w:t>
            </w:r>
          </w:p>
        </w:tc>
        <w:tc>
          <w:tcPr>
            <w:tcW w:w="235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164D2E1" w14:textId="77777777" w:rsidR="007A7551" w:rsidRPr="007A7551" w:rsidRDefault="007A7551" w:rsidP="007A7551">
            <w:pPr>
              <w:spacing w:line="240" w:lineRule="auto"/>
              <w:jc w:val="center"/>
              <w:rPr>
                <w:rFonts w:eastAsia="Times New Roman" w:cs="Arial"/>
                <w:sz w:val="36"/>
                <w:szCs w:val="36"/>
              </w:rPr>
            </w:pPr>
            <w:r w:rsidRPr="007A7551">
              <w:rPr>
                <w:rFonts w:eastAsia="Times New Roman" w:cs="Arial"/>
                <w:b/>
                <w:bCs/>
                <w:color w:val="000000"/>
                <w:kern w:val="24"/>
                <w:sz w:val="28"/>
                <w:szCs w:val="28"/>
              </w:rPr>
              <w:t>3.667</w:t>
            </w:r>
          </w:p>
        </w:tc>
      </w:tr>
    </w:tbl>
    <w:p w14:paraId="7798F7A5" w14:textId="20C69EF1" w:rsidR="00AE4EDA" w:rsidRPr="00060F72" w:rsidRDefault="00182632" w:rsidP="00B576E9">
      <w:pPr>
        <w:tabs>
          <w:tab w:val="left" w:pos="7797"/>
        </w:tabs>
        <w:ind w:right="1693"/>
        <w:rPr>
          <w:rFonts w:cs="Arial"/>
          <w:b/>
          <w:szCs w:val="20"/>
          <w:lang w:val="en-GB"/>
        </w:rPr>
      </w:pPr>
      <w:r w:rsidRPr="00060F72">
        <w:rPr>
          <w:rFonts w:cs="Arial"/>
          <w:b/>
          <w:szCs w:val="20"/>
          <w:lang w:val="en-GB"/>
        </w:rPr>
        <w:br/>
      </w:r>
    </w:p>
    <w:p w14:paraId="2180ACEF" w14:textId="77777777" w:rsidR="0034111E" w:rsidRPr="00060F72" w:rsidRDefault="008921F4" w:rsidP="0034111E">
      <w:pPr>
        <w:tabs>
          <w:tab w:val="left" w:pos="7797"/>
        </w:tabs>
        <w:ind w:right="1693"/>
        <w:jc w:val="both"/>
        <w:rPr>
          <w:rFonts w:cs="Arial"/>
          <w:b/>
          <w:szCs w:val="20"/>
          <w:lang w:val="en-GB"/>
        </w:rPr>
      </w:pPr>
      <w:r w:rsidRPr="00060F72">
        <w:rPr>
          <w:rFonts w:cs="Arial"/>
          <w:b/>
          <w:szCs w:val="20"/>
          <w:lang w:val="en-GB"/>
        </w:rPr>
        <w:t>TGW taking on more than 400 new employees</w:t>
      </w:r>
    </w:p>
    <w:p w14:paraId="60770B3D" w14:textId="77777777" w:rsidR="0034111E" w:rsidRPr="00060F72" w:rsidRDefault="0034111E" w:rsidP="0034111E">
      <w:pPr>
        <w:tabs>
          <w:tab w:val="left" w:pos="7797"/>
        </w:tabs>
        <w:ind w:right="1693"/>
        <w:jc w:val="both"/>
        <w:rPr>
          <w:rFonts w:cs="Arial"/>
          <w:szCs w:val="20"/>
          <w:lang w:val="en-GB"/>
        </w:rPr>
      </w:pPr>
    </w:p>
    <w:p w14:paraId="51F708C3" w14:textId="6031BBE7" w:rsidR="0034111E" w:rsidRPr="00060F72" w:rsidRDefault="008921F4" w:rsidP="0034111E">
      <w:pPr>
        <w:tabs>
          <w:tab w:val="left" w:pos="7797"/>
        </w:tabs>
        <w:ind w:right="1693"/>
        <w:jc w:val="both"/>
        <w:rPr>
          <w:rFonts w:cs="Arial"/>
          <w:szCs w:val="20"/>
          <w:lang w:val="en-GB"/>
        </w:rPr>
      </w:pPr>
      <w:r w:rsidRPr="00060F72">
        <w:rPr>
          <w:rFonts w:cs="Arial"/>
          <w:szCs w:val="20"/>
          <w:lang w:val="en-GB"/>
        </w:rPr>
        <w:t xml:space="preserve">TGW has grown by approximately 250 employees in the completed </w:t>
      </w:r>
      <w:r w:rsidR="00357D7A">
        <w:rPr>
          <w:rFonts w:cs="Arial"/>
          <w:szCs w:val="20"/>
          <w:lang w:val="en-GB"/>
        </w:rPr>
        <w:t>financial</w:t>
      </w:r>
      <w:r w:rsidRPr="00060F72">
        <w:rPr>
          <w:rFonts w:cs="Arial"/>
          <w:szCs w:val="20"/>
          <w:lang w:val="en-GB"/>
        </w:rPr>
        <w:t xml:space="preserve"> year. In the current </w:t>
      </w:r>
      <w:r w:rsidR="00357D7A">
        <w:rPr>
          <w:rFonts w:cs="Arial"/>
          <w:szCs w:val="20"/>
          <w:lang w:val="en-GB"/>
        </w:rPr>
        <w:t>financial</w:t>
      </w:r>
      <w:r w:rsidR="00357D7A" w:rsidRPr="00060F72">
        <w:rPr>
          <w:rFonts w:cs="Arial"/>
          <w:szCs w:val="20"/>
          <w:lang w:val="en-GB"/>
        </w:rPr>
        <w:t xml:space="preserve"> </w:t>
      </w:r>
      <w:r w:rsidRPr="00060F72">
        <w:rPr>
          <w:rFonts w:cs="Arial"/>
          <w:szCs w:val="20"/>
          <w:lang w:val="en-GB"/>
        </w:rPr>
        <w:t>year, the intralogistics specialist is again poised to grow and is searching for employees, mainly for its software, controlling and project management areas. Harald Schröpf says,</w:t>
      </w:r>
    </w:p>
    <w:p w14:paraId="0D18065F" w14:textId="77777777" w:rsidR="009A5205" w:rsidRPr="00060F72" w:rsidRDefault="009A5205" w:rsidP="0034111E">
      <w:pPr>
        <w:tabs>
          <w:tab w:val="left" w:pos="7797"/>
        </w:tabs>
        <w:ind w:right="1693"/>
        <w:jc w:val="both"/>
        <w:rPr>
          <w:rFonts w:cs="Arial"/>
          <w:szCs w:val="20"/>
          <w:lang w:val="en-GB"/>
        </w:rPr>
      </w:pPr>
    </w:p>
    <w:p w14:paraId="6DB922B5" w14:textId="1CFC693A" w:rsidR="009A5205" w:rsidRPr="00060F72" w:rsidRDefault="009A5205" w:rsidP="002604C6">
      <w:pPr>
        <w:tabs>
          <w:tab w:val="left" w:pos="7088"/>
        </w:tabs>
        <w:ind w:left="709" w:right="2402"/>
        <w:jc w:val="both"/>
        <w:rPr>
          <w:rFonts w:cs="Arial"/>
          <w:i/>
          <w:szCs w:val="20"/>
          <w:lang w:val="en-GB"/>
        </w:rPr>
      </w:pPr>
      <w:r w:rsidRPr="00060F72">
        <w:rPr>
          <w:rFonts w:cs="Arial"/>
          <w:i/>
          <w:szCs w:val="20"/>
          <w:lang w:val="en-GB"/>
        </w:rPr>
        <w:t xml:space="preserve">"Well-trained, motivated employees are the basis for our success, especially in an industry that is as dynamic and highly innovative as intralogistics. In order to be able to implement our growth strategy successfully, we are planning to expand by more than 400 employees in the current </w:t>
      </w:r>
      <w:r w:rsidR="00357D7A" w:rsidRPr="00357D7A">
        <w:rPr>
          <w:rFonts w:cs="Arial"/>
          <w:i/>
          <w:szCs w:val="20"/>
          <w:lang w:val="en-GB"/>
        </w:rPr>
        <w:t>financial</w:t>
      </w:r>
      <w:r w:rsidR="00357D7A" w:rsidRPr="00060F72">
        <w:rPr>
          <w:rFonts w:cs="Arial"/>
          <w:szCs w:val="20"/>
          <w:lang w:val="en-GB"/>
        </w:rPr>
        <w:t xml:space="preserve"> </w:t>
      </w:r>
      <w:r w:rsidRPr="00060F72">
        <w:rPr>
          <w:rFonts w:cs="Arial"/>
          <w:i/>
          <w:szCs w:val="20"/>
          <w:lang w:val="en-GB"/>
        </w:rPr>
        <w:t>year and leap over the 4,000-employee mark."</w:t>
      </w:r>
    </w:p>
    <w:p w14:paraId="3584DF42" w14:textId="013D36D2" w:rsidR="00F126D9" w:rsidRPr="00060F72" w:rsidRDefault="001B7B16" w:rsidP="00886389">
      <w:pPr>
        <w:tabs>
          <w:tab w:val="left" w:pos="7797"/>
        </w:tabs>
        <w:ind w:right="1693"/>
        <w:jc w:val="both"/>
        <w:rPr>
          <w:rFonts w:cs="Arial"/>
          <w:b/>
          <w:szCs w:val="20"/>
          <w:lang w:val="en-GB"/>
        </w:rPr>
      </w:pPr>
      <w:r w:rsidRPr="00060F72">
        <w:rPr>
          <w:rFonts w:cs="Arial"/>
          <w:b/>
          <w:szCs w:val="20"/>
          <w:lang w:val="en-GB"/>
        </w:rPr>
        <w:lastRenderedPageBreak/>
        <w:t>Making e-commerce profitable</w:t>
      </w:r>
    </w:p>
    <w:p w14:paraId="246CD754" w14:textId="77777777" w:rsidR="00514468" w:rsidRPr="00060F72" w:rsidRDefault="00514468" w:rsidP="00886389">
      <w:pPr>
        <w:tabs>
          <w:tab w:val="left" w:pos="7797"/>
        </w:tabs>
        <w:ind w:right="1693"/>
        <w:jc w:val="both"/>
        <w:rPr>
          <w:rFonts w:cs="Arial"/>
          <w:szCs w:val="20"/>
          <w:lang w:val="en-GB"/>
        </w:rPr>
      </w:pPr>
    </w:p>
    <w:p w14:paraId="27CCA286" w14:textId="77777777" w:rsidR="005835A0" w:rsidRPr="00060F72" w:rsidRDefault="002E5FC4" w:rsidP="00886389">
      <w:pPr>
        <w:tabs>
          <w:tab w:val="left" w:pos="7797"/>
        </w:tabs>
        <w:ind w:right="1693"/>
        <w:jc w:val="both"/>
        <w:rPr>
          <w:rFonts w:cs="Arial"/>
          <w:szCs w:val="20"/>
          <w:lang w:val="en-GB"/>
        </w:rPr>
      </w:pPr>
      <w:r w:rsidRPr="00060F72">
        <w:rPr>
          <w:rFonts w:cs="Arial"/>
          <w:szCs w:val="20"/>
          <w:lang w:val="en-GB"/>
        </w:rPr>
        <w:t xml:space="preserve">E-commerce is experiencing high growth rates in almost all industries – from fashion to general trade and even online grocery stores. TGW provides customised solutions for these areas and supports its customers in making their e-commerce profitable. </w:t>
      </w:r>
    </w:p>
    <w:p w14:paraId="5A6F461E" w14:textId="3A222979" w:rsidR="00A459AA" w:rsidRPr="00060F72" w:rsidRDefault="005835A0" w:rsidP="00886389">
      <w:pPr>
        <w:tabs>
          <w:tab w:val="left" w:pos="7797"/>
        </w:tabs>
        <w:ind w:right="1693"/>
        <w:jc w:val="both"/>
        <w:rPr>
          <w:rFonts w:cs="Arial"/>
          <w:szCs w:val="20"/>
          <w:lang w:val="en-GB"/>
        </w:rPr>
      </w:pPr>
      <w:r w:rsidRPr="00060F72">
        <w:rPr>
          <w:rFonts w:cs="Arial"/>
          <w:szCs w:val="20"/>
          <w:lang w:val="en-GB"/>
        </w:rPr>
        <w:br/>
        <w:t>eGrocery – that is, the online sale of groceries – has been recording a gain of 350 million orders and a turnover increase of 31 billion euros in Germany, France, the UK, Italy and the U.S. in this year. Up to 45 percent of this increase will persist even after the coronavirus crisis, according to Bain &amp; Company business consultants. This means that there is enormous potential in online grocery sales worldwide.</w:t>
      </w:r>
    </w:p>
    <w:p w14:paraId="458AE325" w14:textId="15E9AAA4" w:rsidR="00A459AA" w:rsidRPr="00060F72" w:rsidRDefault="00A459AA" w:rsidP="00886389">
      <w:pPr>
        <w:tabs>
          <w:tab w:val="left" w:pos="7797"/>
        </w:tabs>
        <w:ind w:right="1693"/>
        <w:jc w:val="both"/>
        <w:rPr>
          <w:rFonts w:cs="Arial"/>
          <w:szCs w:val="20"/>
          <w:lang w:val="en-GB"/>
        </w:rPr>
      </w:pPr>
    </w:p>
    <w:p w14:paraId="404419EA" w14:textId="42EA4963" w:rsidR="001B7B16" w:rsidRPr="00060F72" w:rsidRDefault="001B7B16" w:rsidP="00886389">
      <w:pPr>
        <w:tabs>
          <w:tab w:val="left" w:pos="7797"/>
        </w:tabs>
        <w:ind w:right="1693"/>
        <w:jc w:val="both"/>
        <w:rPr>
          <w:rFonts w:cs="Arial"/>
          <w:b/>
          <w:szCs w:val="20"/>
          <w:lang w:val="en-GB"/>
        </w:rPr>
      </w:pPr>
      <w:r w:rsidRPr="00060F72">
        <w:rPr>
          <w:rFonts w:cs="Arial"/>
          <w:b/>
          <w:szCs w:val="20"/>
          <w:lang w:val="en-GB"/>
        </w:rPr>
        <w:t>Online grocery retailer Picnic automates with TGW</w:t>
      </w:r>
    </w:p>
    <w:p w14:paraId="2EDB04F1" w14:textId="77777777" w:rsidR="001B7B16" w:rsidRPr="00060F72" w:rsidRDefault="001B7B16" w:rsidP="00886389">
      <w:pPr>
        <w:tabs>
          <w:tab w:val="left" w:pos="7797"/>
        </w:tabs>
        <w:ind w:right="1693"/>
        <w:jc w:val="both"/>
        <w:rPr>
          <w:rFonts w:cs="Arial"/>
          <w:szCs w:val="20"/>
          <w:lang w:val="en-GB"/>
        </w:rPr>
      </w:pPr>
    </w:p>
    <w:p w14:paraId="4575B56D" w14:textId="7437FF8F" w:rsidR="00F126D9" w:rsidRPr="00060F72" w:rsidRDefault="00AA3365" w:rsidP="00886389">
      <w:pPr>
        <w:tabs>
          <w:tab w:val="left" w:pos="7797"/>
        </w:tabs>
        <w:ind w:right="1693"/>
        <w:jc w:val="both"/>
        <w:rPr>
          <w:rFonts w:cs="Arial"/>
          <w:szCs w:val="20"/>
          <w:lang w:val="en-GB"/>
        </w:rPr>
      </w:pPr>
      <w:r w:rsidRPr="00060F72">
        <w:rPr>
          <w:rFonts w:cs="Arial"/>
          <w:szCs w:val="20"/>
          <w:lang w:val="en-GB"/>
        </w:rPr>
        <w:t xml:space="preserve">The Dutch online grocery retailer Picnic recently commissioned TGW with the construction of a highly automated distribution centre in Utrecht. </w:t>
      </w:r>
      <w:r w:rsidRPr="00060F72">
        <w:rPr>
          <w:lang w:val="en-GB"/>
        </w:rPr>
        <w:t>The company was established in 2015 and is one of the strongest-growing players in this field</w:t>
      </w:r>
      <w:r w:rsidRPr="00060F72">
        <w:rPr>
          <w:rFonts w:cs="Arial"/>
          <w:szCs w:val="20"/>
          <w:lang w:val="en-GB"/>
        </w:rPr>
        <w:t>. A convenient app allows customers to place orders until 10 p.m. The very next day, emission-free electric vehicles deliver the orders. Relying on its new, highly automated distribution centre, Picnic can pick grocery orders for more than 150,000 families per week. Picnic is laying the foundation for the next steps of its growth using the ground</w:t>
      </w:r>
      <w:r w:rsidR="005F4F50">
        <w:rPr>
          <w:rFonts w:cs="Arial"/>
          <w:szCs w:val="20"/>
          <w:lang w:val="en-GB"/>
        </w:rPr>
        <w:t>-</w:t>
      </w:r>
      <w:r w:rsidRPr="00060F72">
        <w:rPr>
          <w:rFonts w:cs="Arial"/>
          <w:szCs w:val="20"/>
          <w:lang w:val="en-GB"/>
        </w:rPr>
        <w:t>breaking technology solution from TGW.</w:t>
      </w:r>
    </w:p>
    <w:p w14:paraId="4FBDF741" w14:textId="77777777" w:rsidR="00E71BE3" w:rsidRPr="00060F72" w:rsidRDefault="00E71BE3" w:rsidP="00886389">
      <w:pPr>
        <w:tabs>
          <w:tab w:val="left" w:pos="7797"/>
        </w:tabs>
        <w:ind w:right="1693"/>
        <w:jc w:val="both"/>
        <w:rPr>
          <w:rFonts w:cs="Arial"/>
          <w:szCs w:val="20"/>
          <w:lang w:val="en-GB"/>
        </w:rPr>
      </w:pPr>
    </w:p>
    <w:p w14:paraId="77F28FA8"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55E28B94"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5CF0F8E9"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4EDABC32"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24D16E8E" w14:textId="7466123C" w:rsidR="00A459AA"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0AD66C6E" w14:textId="7ED74AE9" w:rsidR="005F4F50" w:rsidRDefault="005F4F50" w:rsidP="009A6B05">
      <w:pPr>
        <w:pStyle w:val="StandardWeb"/>
        <w:shd w:val="clear" w:color="auto" w:fill="FFFFFF"/>
        <w:spacing w:before="0" w:beforeAutospacing="0" w:after="0" w:afterAutospacing="0" w:line="360" w:lineRule="auto"/>
        <w:ind w:right="1837"/>
        <w:rPr>
          <w:rFonts w:cs="Arial"/>
          <w:i/>
          <w:sz w:val="18"/>
          <w:szCs w:val="18"/>
          <w:lang w:val="en-GB"/>
        </w:rPr>
      </w:pPr>
    </w:p>
    <w:p w14:paraId="2461B612" w14:textId="56B1475D" w:rsidR="005F4F50" w:rsidRDefault="005F4F50" w:rsidP="009A6B05">
      <w:pPr>
        <w:pStyle w:val="StandardWeb"/>
        <w:shd w:val="clear" w:color="auto" w:fill="FFFFFF"/>
        <w:spacing w:before="0" w:beforeAutospacing="0" w:after="0" w:afterAutospacing="0" w:line="360" w:lineRule="auto"/>
        <w:ind w:right="1837"/>
        <w:rPr>
          <w:rFonts w:cs="Arial"/>
          <w:i/>
          <w:sz w:val="18"/>
          <w:szCs w:val="18"/>
          <w:lang w:val="en-GB"/>
        </w:rPr>
      </w:pPr>
    </w:p>
    <w:p w14:paraId="6A0BA0E9" w14:textId="25D145AA" w:rsidR="005F4F50" w:rsidRDefault="005F4F50" w:rsidP="009A6B05">
      <w:pPr>
        <w:pStyle w:val="StandardWeb"/>
        <w:shd w:val="clear" w:color="auto" w:fill="FFFFFF"/>
        <w:spacing w:before="0" w:beforeAutospacing="0" w:after="0" w:afterAutospacing="0" w:line="360" w:lineRule="auto"/>
        <w:ind w:right="1837"/>
        <w:rPr>
          <w:rFonts w:cs="Arial"/>
          <w:i/>
          <w:sz w:val="18"/>
          <w:szCs w:val="18"/>
          <w:lang w:val="en-GB"/>
        </w:rPr>
      </w:pPr>
    </w:p>
    <w:p w14:paraId="686A47AD" w14:textId="77777777" w:rsidR="005F4F50" w:rsidRPr="00060F72" w:rsidRDefault="005F4F50" w:rsidP="009A6B05">
      <w:pPr>
        <w:pStyle w:val="StandardWeb"/>
        <w:shd w:val="clear" w:color="auto" w:fill="FFFFFF"/>
        <w:spacing w:before="0" w:beforeAutospacing="0" w:after="0" w:afterAutospacing="0" w:line="360" w:lineRule="auto"/>
        <w:ind w:right="1837"/>
        <w:rPr>
          <w:rFonts w:cs="Arial"/>
          <w:i/>
          <w:sz w:val="18"/>
          <w:szCs w:val="18"/>
          <w:lang w:val="en-GB"/>
        </w:rPr>
      </w:pPr>
    </w:p>
    <w:p w14:paraId="61378276"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356D73B8"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5482EF50" w14:textId="77777777" w:rsidR="00A459AA" w:rsidRPr="00060F72" w:rsidRDefault="00A459AA" w:rsidP="009A6B05">
      <w:pPr>
        <w:pStyle w:val="StandardWeb"/>
        <w:shd w:val="clear" w:color="auto" w:fill="FFFFFF"/>
        <w:spacing w:before="0" w:beforeAutospacing="0" w:after="0" w:afterAutospacing="0" w:line="360" w:lineRule="auto"/>
        <w:ind w:right="1837"/>
        <w:rPr>
          <w:rFonts w:cs="Arial"/>
          <w:i/>
          <w:sz w:val="18"/>
          <w:szCs w:val="18"/>
          <w:lang w:val="en-GB"/>
        </w:rPr>
      </w:pPr>
    </w:p>
    <w:p w14:paraId="04F72D89" w14:textId="77777777" w:rsidR="00F1062C" w:rsidRPr="00060F72" w:rsidRDefault="00F1062C" w:rsidP="009A6B05">
      <w:pPr>
        <w:pStyle w:val="StandardWeb"/>
        <w:shd w:val="clear" w:color="auto" w:fill="FFFFFF"/>
        <w:spacing w:before="0" w:beforeAutospacing="0" w:after="0" w:afterAutospacing="0" w:line="360" w:lineRule="auto"/>
        <w:ind w:right="1837"/>
        <w:rPr>
          <w:lang w:val="en-GB"/>
        </w:rPr>
      </w:pPr>
    </w:p>
    <w:p w14:paraId="65339849" w14:textId="3EAD55F4" w:rsidR="001856BA" w:rsidRPr="00060F72" w:rsidRDefault="001856BA" w:rsidP="009A6B05">
      <w:pPr>
        <w:pStyle w:val="StandardWeb"/>
        <w:shd w:val="clear" w:color="auto" w:fill="FFFFFF"/>
        <w:spacing w:before="0" w:beforeAutospacing="0" w:after="0" w:afterAutospacing="0" w:line="360" w:lineRule="auto"/>
        <w:ind w:right="1837"/>
        <w:rPr>
          <w:lang w:val="en-GB"/>
        </w:rPr>
      </w:pPr>
    </w:p>
    <w:p w14:paraId="16CD535A" w14:textId="7764711F" w:rsidR="00514468" w:rsidRPr="00060F72" w:rsidRDefault="00137D1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hyperlink r:id="rId8" w:history="1">
        <w:r w:rsidR="00443F10" w:rsidRPr="00060F72">
          <w:rPr>
            <w:rStyle w:val="Hyperlink"/>
            <w:rFonts w:ascii="Arial" w:hAnsi="Arial" w:cs="Arial"/>
            <w:sz w:val="20"/>
            <w:szCs w:val="20"/>
            <w:lang w:val="en-GB"/>
          </w:rPr>
          <w:t>www.tgw-group.com</w:t>
        </w:r>
      </w:hyperlink>
      <w:r w:rsidR="00443F10" w:rsidRPr="00060F72">
        <w:rPr>
          <w:rFonts w:ascii="Arial" w:hAnsi="Arial" w:cs="Arial"/>
          <w:sz w:val="20"/>
          <w:szCs w:val="20"/>
          <w:lang w:val="en-GB"/>
        </w:rPr>
        <w:br/>
      </w:r>
    </w:p>
    <w:p w14:paraId="21A939B9" w14:textId="77777777" w:rsidR="000F039C" w:rsidRPr="00060F72"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060F72">
        <w:rPr>
          <w:rFonts w:ascii="Arial" w:hAnsi="Arial" w:cs="Arial"/>
          <w:b/>
          <w:sz w:val="20"/>
          <w:szCs w:val="20"/>
          <w:lang w:val="en-GB"/>
        </w:rPr>
        <w:lastRenderedPageBreak/>
        <w:t>About TGW Logistics Group:</w:t>
      </w:r>
    </w:p>
    <w:p w14:paraId="74183709" w14:textId="77777777" w:rsidR="000F039C" w:rsidRPr="00060F72" w:rsidRDefault="000F039C" w:rsidP="000F039C">
      <w:pPr>
        <w:spacing w:line="240" w:lineRule="auto"/>
        <w:ind w:right="1837"/>
        <w:rPr>
          <w:rFonts w:cs="Arial"/>
          <w:szCs w:val="20"/>
          <w:lang w:val="en-GB"/>
        </w:rPr>
      </w:pPr>
      <w:r w:rsidRPr="00060F72">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60044363" w14:textId="77777777" w:rsidR="000F039C" w:rsidRPr="00060F72" w:rsidRDefault="000F039C" w:rsidP="000F039C">
      <w:pPr>
        <w:tabs>
          <w:tab w:val="left" w:pos="1697"/>
        </w:tabs>
        <w:spacing w:line="240" w:lineRule="auto"/>
        <w:ind w:right="1837"/>
        <w:rPr>
          <w:rFonts w:cs="Arial"/>
          <w:szCs w:val="20"/>
          <w:lang w:val="en-GB"/>
        </w:rPr>
      </w:pPr>
    </w:p>
    <w:p w14:paraId="1E9A1531" w14:textId="77777777" w:rsidR="000F039C" w:rsidRPr="00060F72" w:rsidRDefault="000F039C" w:rsidP="000F039C">
      <w:pPr>
        <w:spacing w:line="240" w:lineRule="auto"/>
        <w:ind w:right="1837"/>
        <w:rPr>
          <w:rFonts w:cs="Arial"/>
          <w:szCs w:val="20"/>
          <w:lang w:val="en-GB"/>
        </w:rPr>
      </w:pPr>
      <w:r w:rsidRPr="00060F72">
        <w:rPr>
          <w:rFonts w:cs="Arial"/>
          <w:szCs w:val="20"/>
          <w:lang w:val="en-GB"/>
        </w:rPr>
        <w:t>TGW Logistics Group has subsidiaries in Europe, China and the US and more than 3,700 employees worldwide. In the 2019/20 business year, the company generated a total turnover of 835.8 million euros.</w:t>
      </w:r>
    </w:p>
    <w:p w14:paraId="182BC5AE" w14:textId="77777777" w:rsidR="000F039C" w:rsidRPr="00060F72" w:rsidRDefault="000F039C" w:rsidP="000F039C">
      <w:pPr>
        <w:spacing w:line="240" w:lineRule="auto"/>
        <w:ind w:right="1837"/>
        <w:rPr>
          <w:rFonts w:cs="Arial"/>
          <w:szCs w:val="20"/>
          <w:lang w:val="en-GB"/>
        </w:rPr>
      </w:pPr>
    </w:p>
    <w:p w14:paraId="624B659F" w14:textId="77777777" w:rsidR="000F039C" w:rsidRPr="00060F72" w:rsidRDefault="000F039C" w:rsidP="000F039C">
      <w:pPr>
        <w:spacing w:line="240" w:lineRule="auto"/>
        <w:ind w:right="1837"/>
        <w:rPr>
          <w:rFonts w:cs="Arial"/>
          <w:szCs w:val="20"/>
          <w:lang w:val="en-GB"/>
        </w:rPr>
      </w:pPr>
    </w:p>
    <w:p w14:paraId="0186748F" w14:textId="77777777" w:rsidR="000F039C" w:rsidRPr="00060F72" w:rsidRDefault="000F039C" w:rsidP="000F039C">
      <w:pPr>
        <w:spacing w:line="240" w:lineRule="auto"/>
        <w:ind w:right="1837"/>
        <w:rPr>
          <w:rFonts w:cs="Arial"/>
          <w:szCs w:val="20"/>
          <w:lang w:val="en-GB"/>
        </w:rPr>
      </w:pPr>
    </w:p>
    <w:p w14:paraId="1E3245BA" w14:textId="77777777" w:rsidR="000F039C" w:rsidRPr="00060F72" w:rsidRDefault="000F039C" w:rsidP="000F039C">
      <w:pPr>
        <w:spacing w:line="240" w:lineRule="auto"/>
        <w:ind w:right="1837"/>
        <w:rPr>
          <w:rFonts w:cs="Arial"/>
          <w:szCs w:val="20"/>
          <w:lang w:val="en-GB"/>
        </w:rPr>
      </w:pPr>
    </w:p>
    <w:p w14:paraId="09A9B7C2" w14:textId="77777777" w:rsidR="000F039C" w:rsidRPr="00060F72" w:rsidRDefault="000F039C" w:rsidP="000F039C">
      <w:pPr>
        <w:spacing w:line="240" w:lineRule="auto"/>
        <w:ind w:right="1837"/>
        <w:rPr>
          <w:rFonts w:cs="Arial"/>
          <w:b/>
          <w:szCs w:val="20"/>
          <w:lang w:val="en-GB"/>
        </w:rPr>
      </w:pPr>
      <w:r w:rsidRPr="00060F72">
        <w:rPr>
          <w:rFonts w:cs="Arial"/>
          <w:b/>
          <w:szCs w:val="20"/>
          <w:lang w:val="en-GB"/>
        </w:rPr>
        <w:t>Pictures:</w:t>
      </w:r>
    </w:p>
    <w:p w14:paraId="4EFB3B85" w14:textId="77777777" w:rsidR="000F039C" w:rsidRPr="00060F72" w:rsidRDefault="000F039C" w:rsidP="000F039C">
      <w:pPr>
        <w:spacing w:line="240" w:lineRule="auto"/>
        <w:ind w:right="1837"/>
        <w:rPr>
          <w:rFonts w:cs="Arial"/>
          <w:szCs w:val="20"/>
          <w:lang w:val="en-GB"/>
        </w:rPr>
      </w:pPr>
      <w:r w:rsidRPr="00060F72">
        <w:rPr>
          <w:rFonts w:cs="Arial"/>
          <w:szCs w:val="20"/>
          <w:lang w:val="en-GB"/>
        </w:rPr>
        <w:t>Reprint with reference to TGW Logistics Group GmbH free of charge. Reprint is not permitted for promotional purposes.</w:t>
      </w:r>
    </w:p>
    <w:p w14:paraId="17273BB1" w14:textId="77777777" w:rsidR="000F039C" w:rsidRPr="00060F72" w:rsidRDefault="000F039C" w:rsidP="000F039C">
      <w:pPr>
        <w:spacing w:line="240" w:lineRule="auto"/>
        <w:ind w:right="1837"/>
        <w:rPr>
          <w:rFonts w:cs="Arial"/>
          <w:szCs w:val="20"/>
          <w:lang w:val="en-GB"/>
        </w:rPr>
      </w:pPr>
    </w:p>
    <w:p w14:paraId="5729B357" w14:textId="77777777" w:rsidR="000F039C" w:rsidRPr="00060F72" w:rsidRDefault="000F039C" w:rsidP="000F039C">
      <w:pPr>
        <w:spacing w:line="240" w:lineRule="auto"/>
        <w:ind w:right="1837"/>
        <w:rPr>
          <w:rFonts w:cs="Arial"/>
          <w:szCs w:val="20"/>
          <w:lang w:val="en-GB"/>
        </w:rPr>
      </w:pPr>
    </w:p>
    <w:p w14:paraId="75D1F9BA" w14:textId="77777777" w:rsidR="000F039C" w:rsidRPr="00060F72" w:rsidRDefault="000F039C" w:rsidP="000F039C">
      <w:pPr>
        <w:spacing w:line="240" w:lineRule="auto"/>
        <w:ind w:right="1837"/>
        <w:rPr>
          <w:rFonts w:cs="Arial"/>
          <w:b/>
          <w:szCs w:val="20"/>
          <w:lang w:val="en-GB"/>
        </w:rPr>
      </w:pPr>
      <w:r w:rsidRPr="00060F72">
        <w:rPr>
          <w:rFonts w:cs="Arial"/>
          <w:b/>
          <w:szCs w:val="20"/>
          <w:lang w:val="en-GB"/>
        </w:rPr>
        <w:t>Contact:</w:t>
      </w:r>
    </w:p>
    <w:p w14:paraId="13664EB5" w14:textId="77777777" w:rsidR="000F039C" w:rsidRPr="00060F72" w:rsidRDefault="000F039C" w:rsidP="000F039C">
      <w:pPr>
        <w:spacing w:line="240" w:lineRule="auto"/>
        <w:ind w:right="1837"/>
        <w:rPr>
          <w:rFonts w:cs="Arial"/>
          <w:szCs w:val="20"/>
          <w:lang w:val="en-GB"/>
        </w:rPr>
      </w:pPr>
      <w:r w:rsidRPr="00060F72">
        <w:rPr>
          <w:rFonts w:cs="Arial"/>
          <w:szCs w:val="20"/>
          <w:lang w:val="en-GB"/>
        </w:rPr>
        <w:t>TGW Logistics Group GmbH</w:t>
      </w:r>
    </w:p>
    <w:p w14:paraId="56E62C3A" w14:textId="77777777" w:rsidR="000F039C" w:rsidRPr="00060F72" w:rsidRDefault="000F039C" w:rsidP="000F039C">
      <w:pPr>
        <w:spacing w:line="240" w:lineRule="auto"/>
        <w:ind w:right="1837"/>
        <w:rPr>
          <w:rFonts w:cs="Arial"/>
          <w:szCs w:val="20"/>
          <w:lang w:val="en-GB"/>
        </w:rPr>
      </w:pPr>
      <w:r w:rsidRPr="00060F72">
        <w:rPr>
          <w:rFonts w:eastAsiaTheme="minorEastAsia" w:cs="Arial"/>
          <w:noProof/>
          <w:szCs w:val="20"/>
          <w:lang w:val="en-GB"/>
        </w:rPr>
        <w:t>A-4614 Marchtrenk</w:t>
      </w:r>
      <w:r w:rsidRPr="00060F72">
        <w:rPr>
          <w:rFonts w:cs="Arial"/>
          <w:szCs w:val="20"/>
          <w:lang w:val="en-GB"/>
        </w:rPr>
        <w:t>, Ludwig Szinicz Straße 3</w:t>
      </w:r>
    </w:p>
    <w:p w14:paraId="573B88EE" w14:textId="77777777" w:rsidR="000F039C" w:rsidRPr="00060F72" w:rsidRDefault="000F039C" w:rsidP="000F039C">
      <w:pPr>
        <w:spacing w:line="240" w:lineRule="auto"/>
        <w:ind w:right="1837"/>
        <w:rPr>
          <w:rFonts w:cs="Arial"/>
          <w:szCs w:val="20"/>
          <w:lang w:val="en-GB"/>
        </w:rPr>
      </w:pPr>
      <w:r w:rsidRPr="00060F72">
        <w:rPr>
          <w:rFonts w:cs="Arial"/>
          <w:szCs w:val="20"/>
          <w:lang w:val="en-GB"/>
        </w:rPr>
        <w:t>T: +43.50.486-0</w:t>
      </w:r>
    </w:p>
    <w:p w14:paraId="220106D4" w14:textId="77777777" w:rsidR="000F039C" w:rsidRPr="00060F72" w:rsidRDefault="000F039C" w:rsidP="000F039C">
      <w:pPr>
        <w:spacing w:line="240" w:lineRule="auto"/>
        <w:ind w:right="1837"/>
        <w:rPr>
          <w:rFonts w:cs="Arial"/>
          <w:szCs w:val="20"/>
          <w:lang w:val="en-GB"/>
        </w:rPr>
      </w:pPr>
      <w:r w:rsidRPr="00060F72">
        <w:rPr>
          <w:rFonts w:cs="Arial"/>
          <w:szCs w:val="20"/>
          <w:lang w:val="en-GB"/>
        </w:rPr>
        <w:t>F: +43.50.486-31</w:t>
      </w:r>
    </w:p>
    <w:p w14:paraId="1C6FA9DE" w14:textId="77777777" w:rsidR="000F039C" w:rsidRPr="00060F72" w:rsidRDefault="000F039C" w:rsidP="000F039C">
      <w:pPr>
        <w:spacing w:line="240" w:lineRule="auto"/>
        <w:ind w:right="1837"/>
        <w:rPr>
          <w:rFonts w:cs="Arial"/>
          <w:szCs w:val="20"/>
          <w:lang w:val="en-GB"/>
        </w:rPr>
      </w:pPr>
      <w:r w:rsidRPr="00060F72">
        <w:rPr>
          <w:rFonts w:cs="Arial"/>
          <w:szCs w:val="20"/>
          <w:lang w:val="en-GB"/>
        </w:rPr>
        <w:t>e-mail: tgw@tgw-group.com</w:t>
      </w:r>
    </w:p>
    <w:p w14:paraId="02D45BA1" w14:textId="77777777" w:rsidR="000F039C" w:rsidRPr="00060F72" w:rsidRDefault="000F039C" w:rsidP="000F039C">
      <w:pPr>
        <w:spacing w:line="240" w:lineRule="auto"/>
        <w:ind w:right="1837"/>
        <w:rPr>
          <w:rFonts w:cs="Arial"/>
          <w:szCs w:val="20"/>
          <w:lang w:val="en-GB"/>
        </w:rPr>
      </w:pPr>
    </w:p>
    <w:p w14:paraId="27CBE8E3" w14:textId="77777777" w:rsidR="000F039C" w:rsidRPr="00060F72" w:rsidRDefault="000F039C" w:rsidP="000F039C">
      <w:pPr>
        <w:spacing w:line="240" w:lineRule="auto"/>
        <w:ind w:right="1837"/>
        <w:rPr>
          <w:rFonts w:cs="Arial"/>
          <w:szCs w:val="20"/>
          <w:lang w:val="en-GB"/>
        </w:rPr>
      </w:pPr>
    </w:p>
    <w:p w14:paraId="54B20530" w14:textId="77777777" w:rsidR="000F039C" w:rsidRPr="00060F72" w:rsidRDefault="000F039C" w:rsidP="000F039C">
      <w:pPr>
        <w:spacing w:line="240" w:lineRule="auto"/>
        <w:ind w:right="1837"/>
        <w:rPr>
          <w:rFonts w:cs="Arial"/>
          <w:szCs w:val="20"/>
          <w:lang w:val="en-GB"/>
        </w:rPr>
      </w:pPr>
    </w:p>
    <w:p w14:paraId="4C7DE02C" w14:textId="77777777" w:rsidR="000F039C" w:rsidRPr="00060F72" w:rsidRDefault="000F039C" w:rsidP="000F039C">
      <w:pPr>
        <w:spacing w:line="240" w:lineRule="auto"/>
        <w:ind w:right="1837"/>
        <w:rPr>
          <w:rFonts w:cs="Arial"/>
          <w:szCs w:val="20"/>
          <w:lang w:val="en-GB"/>
        </w:rPr>
      </w:pPr>
    </w:p>
    <w:p w14:paraId="5B9BE290" w14:textId="0EA04704" w:rsidR="008A6F35" w:rsidRPr="00060F72" w:rsidRDefault="000F039C" w:rsidP="000F039C">
      <w:pPr>
        <w:spacing w:line="240" w:lineRule="auto"/>
        <w:ind w:right="701"/>
        <w:rPr>
          <w:rFonts w:cs="Arial"/>
          <w:b/>
          <w:szCs w:val="20"/>
          <w:lang w:val="en-GB"/>
        </w:rPr>
      </w:pPr>
      <w:r w:rsidRPr="00060F72">
        <w:rPr>
          <w:rFonts w:cs="Arial"/>
          <w:b/>
          <w:szCs w:val="20"/>
          <w:lang w:val="en-GB"/>
        </w:rPr>
        <w:t>Press contact:</w:t>
      </w:r>
    </w:p>
    <w:p w14:paraId="064F9412" w14:textId="77777777" w:rsidR="00496FFC" w:rsidRPr="00060F72" w:rsidRDefault="00496FFC" w:rsidP="000F039C">
      <w:pPr>
        <w:spacing w:line="240" w:lineRule="auto"/>
        <w:ind w:right="701"/>
        <w:rPr>
          <w:rFonts w:cs="Arial"/>
          <w:b/>
          <w:szCs w:val="20"/>
          <w:lang w:val="en-GB"/>
        </w:rPr>
      </w:pPr>
    </w:p>
    <w:p w14:paraId="35F01D47" w14:textId="77777777" w:rsidR="00496FFC" w:rsidRPr="00060F72" w:rsidRDefault="00496FFC" w:rsidP="00496FFC">
      <w:pPr>
        <w:spacing w:line="240" w:lineRule="auto"/>
        <w:ind w:right="701"/>
        <w:rPr>
          <w:rFonts w:cs="Arial"/>
          <w:szCs w:val="20"/>
          <w:lang w:val="en-GB"/>
        </w:rPr>
      </w:pPr>
      <w:r w:rsidRPr="00060F72">
        <w:rPr>
          <w:rFonts w:cs="Arial"/>
          <w:szCs w:val="20"/>
          <w:lang w:val="en-GB"/>
        </w:rPr>
        <w:t>Alexander Tahedl</w:t>
      </w:r>
    </w:p>
    <w:p w14:paraId="57A0031C" w14:textId="77777777" w:rsidR="00496FFC" w:rsidRPr="00060F72" w:rsidRDefault="00496FFC" w:rsidP="00496FFC">
      <w:pPr>
        <w:spacing w:line="240" w:lineRule="auto"/>
        <w:ind w:right="701"/>
        <w:rPr>
          <w:rFonts w:cs="Arial"/>
          <w:szCs w:val="20"/>
          <w:lang w:val="en-GB"/>
        </w:rPr>
      </w:pPr>
      <w:r w:rsidRPr="00060F72">
        <w:rPr>
          <w:rFonts w:cs="Arial"/>
          <w:szCs w:val="20"/>
          <w:lang w:val="en-GB"/>
        </w:rPr>
        <w:t>Communications Specialist</w:t>
      </w:r>
    </w:p>
    <w:p w14:paraId="30A42C9A" w14:textId="77777777" w:rsidR="00496FFC" w:rsidRPr="00060F72" w:rsidRDefault="00496FFC" w:rsidP="00496FFC">
      <w:pPr>
        <w:spacing w:line="240" w:lineRule="auto"/>
        <w:ind w:right="701"/>
        <w:rPr>
          <w:rFonts w:cs="Arial"/>
          <w:szCs w:val="20"/>
          <w:lang w:val="en-GB"/>
        </w:rPr>
      </w:pPr>
      <w:r w:rsidRPr="00060F72">
        <w:rPr>
          <w:rFonts w:cs="Arial"/>
          <w:szCs w:val="20"/>
          <w:lang w:val="en-GB"/>
        </w:rPr>
        <w:t>T: +43.50.486-2267</w:t>
      </w:r>
    </w:p>
    <w:p w14:paraId="254FEB36" w14:textId="77777777" w:rsidR="00496FFC" w:rsidRPr="00060F72" w:rsidRDefault="00496FFC" w:rsidP="00496FFC">
      <w:pPr>
        <w:spacing w:line="240" w:lineRule="auto"/>
        <w:ind w:right="701"/>
        <w:rPr>
          <w:rFonts w:cs="Arial"/>
          <w:szCs w:val="20"/>
          <w:lang w:val="en-GB"/>
        </w:rPr>
      </w:pPr>
      <w:r w:rsidRPr="00060F72">
        <w:rPr>
          <w:rFonts w:cs="Arial"/>
          <w:szCs w:val="20"/>
          <w:lang w:val="en-GB"/>
        </w:rPr>
        <w:t>M: +43.664.88459713</w:t>
      </w:r>
    </w:p>
    <w:p w14:paraId="05FF333D" w14:textId="77777777" w:rsidR="00496FFC" w:rsidRPr="00060F72" w:rsidRDefault="00496FFC" w:rsidP="00496FFC">
      <w:pPr>
        <w:spacing w:line="240" w:lineRule="auto"/>
        <w:ind w:right="701"/>
        <w:rPr>
          <w:lang w:val="en-GB"/>
        </w:rPr>
      </w:pPr>
      <w:r w:rsidRPr="00060F72">
        <w:rPr>
          <w:rFonts w:cs="Arial"/>
          <w:szCs w:val="20"/>
          <w:lang w:val="en-GB"/>
        </w:rPr>
        <w:t>alexander.tahedl@tgw-group.com</w:t>
      </w:r>
    </w:p>
    <w:p w14:paraId="2A5D5C9D" w14:textId="77777777" w:rsidR="00496FFC" w:rsidRPr="00060F72" w:rsidRDefault="00496FFC" w:rsidP="000F039C">
      <w:pPr>
        <w:spacing w:line="240" w:lineRule="auto"/>
        <w:ind w:right="701"/>
        <w:rPr>
          <w:rFonts w:cs="Arial"/>
          <w:b/>
          <w:szCs w:val="20"/>
          <w:lang w:val="en-GB"/>
        </w:rPr>
      </w:pPr>
    </w:p>
    <w:p w14:paraId="5AB6C861" w14:textId="77777777" w:rsidR="00496FFC" w:rsidRPr="00060F72" w:rsidRDefault="00496FFC" w:rsidP="000F039C">
      <w:pPr>
        <w:spacing w:line="240" w:lineRule="auto"/>
        <w:ind w:right="701"/>
        <w:rPr>
          <w:rFonts w:cs="Arial"/>
          <w:b/>
          <w:szCs w:val="20"/>
          <w:lang w:val="en-GB"/>
        </w:rPr>
      </w:pPr>
    </w:p>
    <w:p w14:paraId="313206CF" w14:textId="77777777" w:rsidR="000F039C" w:rsidRPr="00060F72" w:rsidRDefault="000F039C" w:rsidP="000F039C">
      <w:pPr>
        <w:spacing w:line="240" w:lineRule="auto"/>
        <w:ind w:right="701"/>
        <w:rPr>
          <w:rFonts w:cs="Arial"/>
          <w:szCs w:val="20"/>
          <w:lang w:val="en-GB"/>
        </w:rPr>
      </w:pPr>
      <w:r w:rsidRPr="00060F72">
        <w:rPr>
          <w:rFonts w:cs="Arial"/>
          <w:szCs w:val="20"/>
          <w:lang w:val="en-GB"/>
        </w:rPr>
        <w:t>Martin Kirchmayr</w:t>
      </w:r>
    </w:p>
    <w:p w14:paraId="673BF74F" w14:textId="77777777" w:rsidR="000F039C" w:rsidRPr="00060F72" w:rsidRDefault="000F039C" w:rsidP="000F039C">
      <w:pPr>
        <w:spacing w:line="240" w:lineRule="auto"/>
        <w:ind w:right="701"/>
        <w:rPr>
          <w:rFonts w:cs="Arial"/>
          <w:szCs w:val="20"/>
          <w:lang w:val="en-GB"/>
        </w:rPr>
      </w:pPr>
      <w:r w:rsidRPr="00060F72">
        <w:rPr>
          <w:rFonts w:cs="Arial"/>
          <w:szCs w:val="20"/>
          <w:lang w:val="en-GB"/>
        </w:rPr>
        <w:t>Director Marketing &amp; Communications</w:t>
      </w:r>
    </w:p>
    <w:p w14:paraId="028B6FD0" w14:textId="77777777" w:rsidR="000F039C" w:rsidRPr="00060F72" w:rsidRDefault="000F039C" w:rsidP="000F039C">
      <w:pPr>
        <w:spacing w:line="240" w:lineRule="auto"/>
        <w:ind w:right="701"/>
        <w:rPr>
          <w:rFonts w:cs="Arial"/>
          <w:szCs w:val="20"/>
          <w:lang w:val="en-GB"/>
        </w:rPr>
      </w:pPr>
      <w:r w:rsidRPr="00060F72">
        <w:rPr>
          <w:rFonts w:cs="Arial"/>
          <w:szCs w:val="20"/>
          <w:lang w:val="en-GB"/>
        </w:rPr>
        <w:t>T: +43.50.486-1382</w:t>
      </w:r>
    </w:p>
    <w:p w14:paraId="3A4D376F" w14:textId="77777777" w:rsidR="000F039C" w:rsidRPr="00060F72" w:rsidRDefault="00085DE5" w:rsidP="000F039C">
      <w:pPr>
        <w:tabs>
          <w:tab w:val="left" w:pos="3432"/>
        </w:tabs>
        <w:spacing w:line="240" w:lineRule="auto"/>
        <w:ind w:right="701"/>
        <w:rPr>
          <w:rFonts w:cs="Arial"/>
          <w:szCs w:val="20"/>
          <w:lang w:val="en-GB"/>
        </w:rPr>
      </w:pPr>
      <w:r w:rsidRPr="00060F72">
        <w:rPr>
          <w:rFonts w:cs="Arial"/>
          <w:szCs w:val="20"/>
          <w:lang w:val="en-GB"/>
        </w:rPr>
        <w:t>M: +43.664.8187423</w:t>
      </w:r>
    </w:p>
    <w:p w14:paraId="3F5471FF" w14:textId="77777777" w:rsidR="00496FFC" w:rsidRPr="00060F72" w:rsidRDefault="00085DE5">
      <w:pPr>
        <w:spacing w:line="240" w:lineRule="auto"/>
        <w:ind w:right="701"/>
        <w:rPr>
          <w:rFonts w:cs="Arial"/>
          <w:szCs w:val="20"/>
          <w:lang w:val="en-GB"/>
        </w:rPr>
      </w:pPr>
      <w:r w:rsidRPr="00060F72">
        <w:rPr>
          <w:rFonts w:cs="Arial"/>
          <w:szCs w:val="20"/>
          <w:lang w:val="en-GB"/>
        </w:rPr>
        <w:t>martin.kirchmayr@tgw-group.com</w:t>
      </w:r>
    </w:p>
    <w:p w14:paraId="25A617DC" w14:textId="77777777" w:rsidR="007E79A3" w:rsidRPr="00060F72" w:rsidRDefault="007E79A3">
      <w:pPr>
        <w:spacing w:line="240" w:lineRule="auto"/>
        <w:ind w:right="701"/>
        <w:rPr>
          <w:rFonts w:cs="Arial"/>
          <w:szCs w:val="20"/>
          <w:lang w:val="en-GB"/>
        </w:rPr>
      </w:pPr>
    </w:p>
    <w:sectPr w:rsidR="007E79A3" w:rsidRPr="00060F7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DA268" w14:textId="77777777" w:rsidR="00137D19" w:rsidRDefault="00137D19" w:rsidP="00764006">
      <w:pPr>
        <w:spacing w:line="240" w:lineRule="auto"/>
      </w:pPr>
      <w:r>
        <w:separator/>
      </w:r>
    </w:p>
  </w:endnote>
  <w:endnote w:type="continuationSeparator" w:id="0">
    <w:p w14:paraId="7C7D9C85" w14:textId="77777777" w:rsidR="00137D19" w:rsidRDefault="00137D1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73AD425E" w14:textId="77777777" w:rsidTr="00C15D91">
      <w:tc>
        <w:tcPr>
          <w:tcW w:w="6474" w:type="dxa"/>
        </w:tcPr>
        <w:p w14:paraId="756515AC"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1FD666A" w14:textId="77777777" w:rsidR="00A459AA" w:rsidRPr="00252CD7" w:rsidRDefault="00A459AA" w:rsidP="007D0E42">
          <w:pPr>
            <w:pStyle w:val="Fuzeile"/>
            <w:rPr>
              <w:sz w:val="16"/>
            </w:rPr>
          </w:pPr>
        </w:p>
      </w:tc>
      <w:tc>
        <w:tcPr>
          <w:tcW w:w="283" w:type="dxa"/>
          <w:tcBorders>
            <w:left w:val="single" w:sz="12" w:space="0" w:color="C00418" w:themeColor="accent1"/>
          </w:tcBorders>
        </w:tcPr>
        <w:p w14:paraId="314EBEF5" w14:textId="77777777" w:rsidR="00A459AA" w:rsidRPr="00252CD7" w:rsidRDefault="00A459AA" w:rsidP="007D0E42">
          <w:pPr>
            <w:pStyle w:val="Fuzeile"/>
            <w:rPr>
              <w:sz w:val="16"/>
            </w:rPr>
          </w:pPr>
        </w:p>
      </w:tc>
      <w:tc>
        <w:tcPr>
          <w:tcW w:w="2438" w:type="dxa"/>
          <w:vAlign w:val="center"/>
        </w:tcPr>
        <w:p w14:paraId="35009DAA" w14:textId="7B0FE741"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BC2464">
            <w:rPr>
              <w:noProof/>
              <w:sz w:val="16"/>
            </w:rPr>
            <w:t>3</w:t>
          </w:r>
          <w:r>
            <w:fldChar w:fldCharType="end"/>
          </w:r>
          <w:r>
            <w:rPr>
              <w:sz w:val="16"/>
            </w:rPr>
            <w:t xml:space="preserve"> / 4</w:t>
          </w:r>
        </w:p>
      </w:tc>
    </w:tr>
  </w:tbl>
  <w:p w14:paraId="58D81884"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A2AFE" w14:textId="77777777" w:rsidR="00137D19" w:rsidRDefault="00137D19" w:rsidP="00764006">
      <w:pPr>
        <w:spacing w:line="240" w:lineRule="auto"/>
      </w:pPr>
      <w:r>
        <w:separator/>
      </w:r>
    </w:p>
  </w:footnote>
  <w:footnote w:type="continuationSeparator" w:id="0">
    <w:p w14:paraId="6E0E6DE5" w14:textId="77777777" w:rsidR="00137D19" w:rsidRDefault="00137D1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2472" w14:textId="77777777" w:rsidR="00A459AA" w:rsidRDefault="00A459AA" w:rsidP="00764006">
    <w:pPr>
      <w:pStyle w:val="Kopfzeile"/>
      <w:jc w:val="right"/>
    </w:pPr>
    <w:r>
      <w:br/>
    </w:r>
  </w:p>
  <w:p w14:paraId="0EE9E6A2" w14:textId="384919FC" w:rsidR="00A459AA" w:rsidRPr="00C15D91" w:rsidRDefault="00A459AA" w:rsidP="00C00CC7">
    <w:pPr>
      <w:pStyle w:val="Dokumententitel"/>
    </w:pPr>
    <w:r>
      <w:drawing>
        <wp:anchor distT="0" distB="0" distL="114300" distR="114300" simplePos="0" relativeHeight="251658240" behindDoc="0" locked="0" layoutInCell="1" allowOverlap="1" wp14:anchorId="78D8039B" wp14:editId="120F512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3F63AA">
      <w:t>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3"/>
  </w:num>
  <w:num w:numId="7">
    <w:abstractNumId w:val="13"/>
  </w:num>
  <w:num w:numId="8">
    <w:abstractNumId w:val="10"/>
  </w:num>
  <w:num w:numId="9">
    <w:abstractNumId w:val="18"/>
  </w:num>
  <w:num w:numId="10">
    <w:abstractNumId w:val="1"/>
  </w:num>
  <w:num w:numId="11">
    <w:abstractNumId w:val="6"/>
  </w:num>
  <w:num w:numId="12">
    <w:abstractNumId w:val="15"/>
  </w:num>
  <w:num w:numId="13">
    <w:abstractNumId w:val="16"/>
  </w:num>
  <w:num w:numId="14">
    <w:abstractNumId w:val="20"/>
  </w:num>
  <w:num w:numId="15">
    <w:abstractNumId w:val="22"/>
  </w:num>
  <w:num w:numId="16">
    <w:abstractNumId w:val="4"/>
  </w:num>
  <w:num w:numId="17">
    <w:abstractNumId w:val="19"/>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8BC"/>
    <w:rsid w:val="000048E9"/>
    <w:rsid w:val="00004D39"/>
    <w:rsid w:val="00004F6A"/>
    <w:rsid w:val="000067D6"/>
    <w:rsid w:val="00007176"/>
    <w:rsid w:val="00007CF1"/>
    <w:rsid w:val="00013BF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0F72"/>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21F"/>
    <w:rsid w:val="000A7433"/>
    <w:rsid w:val="000B3A42"/>
    <w:rsid w:val="000B3BB3"/>
    <w:rsid w:val="000B58AB"/>
    <w:rsid w:val="000B6520"/>
    <w:rsid w:val="000B6706"/>
    <w:rsid w:val="000B6892"/>
    <w:rsid w:val="000B697D"/>
    <w:rsid w:val="000B6D90"/>
    <w:rsid w:val="000B72D6"/>
    <w:rsid w:val="000B7F5B"/>
    <w:rsid w:val="000C043F"/>
    <w:rsid w:val="000C48AB"/>
    <w:rsid w:val="000D04E9"/>
    <w:rsid w:val="000D055C"/>
    <w:rsid w:val="000D0B64"/>
    <w:rsid w:val="000D0FFE"/>
    <w:rsid w:val="000D3D7D"/>
    <w:rsid w:val="000D445F"/>
    <w:rsid w:val="000D5038"/>
    <w:rsid w:val="000D5631"/>
    <w:rsid w:val="000D570F"/>
    <w:rsid w:val="000D5CF0"/>
    <w:rsid w:val="000D7892"/>
    <w:rsid w:val="000D79F0"/>
    <w:rsid w:val="000E1710"/>
    <w:rsid w:val="000E2B57"/>
    <w:rsid w:val="000E5B4A"/>
    <w:rsid w:val="000E6579"/>
    <w:rsid w:val="000E721B"/>
    <w:rsid w:val="000E742E"/>
    <w:rsid w:val="000E779D"/>
    <w:rsid w:val="000F039C"/>
    <w:rsid w:val="000F2136"/>
    <w:rsid w:val="000F6568"/>
    <w:rsid w:val="000F6786"/>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3094C"/>
    <w:rsid w:val="00132861"/>
    <w:rsid w:val="001336A2"/>
    <w:rsid w:val="001354C6"/>
    <w:rsid w:val="00136EEB"/>
    <w:rsid w:val="00137D19"/>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2BC3"/>
    <w:rsid w:val="00172F83"/>
    <w:rsid w:val="00172FF1"/>
    <w:rsid w:val="00174445"/>
    <w:rsid w:val="00174858"/>
    <w:rsid w:val="00174FA7"/>
    <w:rsid w:val="00177186"/>
    <w:rsid w:val="00177950"/>
    <w:rsid w:val="00177E66"/>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A0355"/>
    <w:rsid w:val="001A0755"/>
    <w:rsid w:val="001A08BF"/>
    <w:rsid w:val="001A143C"/>
    <w:rsid w:val="001A2A7D"/>
    <w:rsid w:val="001A36B2"/>
    <w:rsid w:val="001A3CC9"/>
    <w:rsid w:val="001A4177"/>
    <w:rsid w:val="001A639D"/>
    <w:rsid w:val="001B0377"/>
    <w:rsid w:val="001B1C61"/>
    <w:rsid w:val="001B2714"/>
    <w:rsid w:val="001B32D8"/>
    <w:rsid w:val="001B331B"/>
    <w:rsid w:val="001B3B4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B2A"/>
    <w:rsid w:val="001D3BE6"/>
    <w:rsid w:val="001D3C10"/>
    <w:rsid w:val="001D6C93"/>
    <w:rsid w:val="001D6FB0"/>
    <w:rsid w:val="001E064D"/>
    <w:rsid w:val="001E12D3"/>
    <w:rsid w:val="001E2DC7"/>
    <w:rsid w:val="001E3060"/>
    <w:rsid w:val="001E3416"/>
    <w:rsid w:val="001E4E67"/>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35CF"/>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24A9"/>
    <w:rsid w:val="002A24DB"/>
    <w:rsid w:val="002A47F3"/>
    <w:rsid w:val="002A50BC"/>
    <w:rsid w:val="002A540B"/>
    <w:rsid w:val="002A5A42"/>
    <w:rsid w:val="002A62CC"/>
    <w:rsid w:val="002A6820"/>
    <w:rsid w:val="002A6CF7"/>
    <w:rsid w:val="002A6D6B"/>
    <w:rsid w:val="002B0533"/>
    <w:rsid w:val="002B13F8"/>
    <w:rsid w:val="002B27F9"/>
    <w:rsid w:val="002B3503"/>
    <w:rsid w:val="002B4568"/>
    <w:rsid w:val="002B4848"/>
    <w:rsid w:val="002B52CA"/>
    <w:rsid w:val="002B56A8"/>
    <w:rsid w:val="002B5E97"/>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71B6"/>
    <w:rsid w:val="002F059B"/>
    <w:rsid w:val="002F0A80"/>
    <w:rsid w:val="002F390A"/>
    <w:rsid w:val="002F3C41"/>
    <w:rsid w:val="002F4C86"/>
    <w:rsid w:val="002F4FEE"/>
    <w:rsid w:val="002F748C"/>
    <w:rsid w:val="002F7C97"/>
    <w:rsid w:val="003014F9"/>
    <w:rsid w:val="0030159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30273"/>
    <w:rsid w:val="00331CE5"/>
    <w:rsid w:val="00331DF2"/>
    <w:rsid w:val="0033228A"/>
    <w:rsid w:val="003324FD"/>
    <w:rsid w:val="00332A95"/>
    <w:rsid w:val="003336F3"/>
    <w:rsid w:val="00334F88"/>
    <w:rsid w:val="00335814"/>
    <w:rsid w:val="0033586A"/>
    <w:rsid w:val="00336419"/>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57D7A"/>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232F"/>
    <w:rsid w:val="00392F49"/>
    <w:rsid w:val="00393F32"/>
    <w:rsid w:val="003A0407"/>
    <w:rsid w:val="003A0544"/>
    <w:rsid w:val="003A1816"/>
    <w:rsid w:val="003A2448"/>
    <w:rsid w:val="003A28BB"/>
    <w:rsid w:val="003A2AEC"/>
    <w:rsid w:val="003A6EC7"/>
    <w:rsid w:val="003A717A"/>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3AA"/>
    <w:rsid w:val="003F6519"/>
    <w:rsid w:val="003F6E7A"/>
    <w:rsid w:val="0040081B"/>
    <w:rsid w:val="00401195"/>
    <w:rsid w:val="0040175E"/>
    <w:rsid w:val="00401F9F"/>
    <w:rsid w:val="00403ABC"/>
    <w:rsid w:val="00404BB0"/>
    <w:rsid w:val="00404C6F"/>
    <w:rsid w:val="00404F8A"/>
    <w:rsid w:val="004052D6"/>
    <w:rsid w:val="00405383"/>
    <w:rsid w:val="004057A5"/>
    <w:rsid w:val="004150B4"/>
    <w:rsid w:val="00415BE0"/>
    <w:rsid w:val="0041692F"/>
    <w:rsid w:val="004173D2"/>
    <w:rsid w:val="00417A01"/>
    <w:rsid w:val="00420460"/>
    <w:rsid w:val="00421702"/>
    <w:rsid w:val="00422A59"/>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E0D"/>
    <w:rsid w:val="00436F24"/>
    <w:rsid w:val="00441043"/>
    <w:rsid w:val="0044195E"/>
    <w:rsid w:val="0044232B"/>
    <w:rsid w:val="00443F10"/>
    <w:rsid w:val="0044421B"/>
    <w:rsid w:val="00444BA0"/>
    <w:rsid w:val="004463DD"/>
    <w:rsid w:val="00446487"/>
    <w:rsid w:val="004472A0"/>
    <w:rsid w:val="00447722"/>
    <w:rsid w:val="00447A66"/>
    <w:rsid w:val="00450B34"/>
    <w:rsid w:val="00450F6F"/>
    <w:rsid w:val="004512F8"/>
    <w:rsid w:val="00452E7C"/>
    <w:rsid w:val="00452F19"/>
    <w:rsid w:val="0045478F"/>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80054"/>
    <w:rsid w:val="004811AB"/>
    <w:rsid w:val="004818EE"/>
    <w:rsid w:val="004825B7"/>
    <w:rsid w:val="00483348"/>
    <w:rsid w:val="004835A9"/>
    <w:rsid w:val="00484E73"/>
    <w:rsid w:val="00485326"/>
    <w:rsid w:val="00485975"/>
    <w:rsid w:val="00485D3E"/>
    <w:rsid w:val="00487647"/>
    <w:rsid w:val="00491213"/>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52DA"/>
    <w:rsid w:val="004D5EC4"/>
    <w:rsid w:val="004D6889"/>
    <w:rsid w:val="004E264D"/>
    <w:rsid w:val="004E371B"/>
    <w:rsid w:val="004E40E5"/>
    <w:rsid w:val="004E4588"/>
    <w:rsid w:val="004E4DC5"/>
    <w:rsid w:val="004E6AFB"/>
    <w:rsid w:val="004E72A9"/>
    <w:rsid w:val="004E7AC3"/>
    <w:rsid w:val="004E7C0D"/>
    <w:rsid w:val="004F1580"/>
    <w:rsid w:val="004F16F2"/>
    <w:rsid w:val="004F27BE"/>
    <w:rsid w:val="004F4838"/>
    <w:rsid w:val="004F4E86"/>
    <w:rsid w:val="004F545F"/>
    <w:rsid w:val="004F57EC"/>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CDC"/>
    <w:rsid w:val="0053149B"/>
    <w:rsid w:val="00534318"/>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3DC2"/>
    <w:rsid w:val="00554CD1"/>
    <w:rsid w:val="0055503D"/>
    <w:rsid w:val="0055542D"/>
    <w:rsid w:val="00556FA2"/>
    <w:rsid w:val="00560882"/>
    <w:rsid w:val="005609F6"/>
    <w:rsid w:val="00561645"/>
    <w:rsid w:val="005627E8"/>
    <w:rsid w:val="005627FC"/>
    <w:rsid w:val="005634F5"/>
    <w:rsid w:val="005655EB"/>
    <w:rsid w:val="00572BDA"/>
    <w:rsid w:val="005735A7"/>
    <w:rsid w:val="00573A73"/>
    <w:rsid w:val="00574B91"/>
    <w:rsid w:val="00574E3C"/>
    <w:rsid w:val="00576B49"/>
    <w:rsid w:val="00577E48"/>
    <w:rsid w:val="00580CF9"/>
    <w:rsid w:val="005820BD"/>
    <w:rsid w:val="00582A98"/>
    <w:rsid w:val="00582DE4"/>
    <w:rsid w:val="0058334F"/>
    <w:rsid w:val="005835A0"/>
    <w:rsid w:val="0058393E"/>
    <w:rsid w:val="00583D84"/>
    <w:rsid w:val="0058474C"/>
    <w:rsid w:val="00584B0A"/>
    <w:rsid w:val="005861E5"/>
    <w:rsid w:val="00586708"/>
    <w:rsid w:val="00586A99"/>
    <w:rsid w:val="00587756"/>
    <w:rsid w:val="00590E98"/>
    <w:rsid w:val="005918D1"/>
    <w:rsid w:val="00592C1B"/>
    <w:rsid w:val="00593028"/>
    <w:rsid w:val="005948F3"/>
    <w:rsid w:val="00594A63"/>
    <w:rsid w:val="0059546F"/>
    <w:rsid w:val="00595F90"/>
    <w:rsid w:val="00597C48"/>
    <w:rsid w:val="005A1CE4"/>
    <w:rsid w:val="005A3199"/>
    <w:rsid w:val="005A3DFB"/>
    <w:rsid w:val="005A4173"/>
    <w:rsid w:val="005A4597"/>
    <w:rsid w:val="005A47C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C5D"/>
    <w:rsid w:val="005D2F99"/>
    <w:rsid w:val="005D4A90"/>
    <w:rsid w:val="005D4AF0"/>
    <w:rsid w:val="005D625F"/>
    <w:rsid w:val="005D6937"/>
    <w:rsid w:val="005D75C8"/>
    <w:rsid w:val="005E1C72"/>
    <w:rsid w:val="005E2614"/>
    <w:rsid w:val="005E26CA"/>
    <w:rsid w:val="005E2D7B"/>
    <w:rsid w:val="005E32F3"/>
    <w:rsid w:val="005E46F1"/>
    <w:rsid w:val="005E4B43"/>
    <w:rsid w:val="005E5C16"/>
    <w:rsid w:val="005E5C8E"/>
    <w:rsid w:val="005F104C"/>
    <w:rsid w:val="005F4F50"/>
    <w:rsid w:val="005F518B"/>
    <w:rsid w:val="005F5638"/>
    <w:rsid w:val="005F7884"/>
    <w:rsid w:val="00600803"/>
    <w:rsid w:val="006027F0"/>
    <w:rsid w:val="00603680"/>
    <w:rsid w:val="0060467B"/>
    <w:rsid w:val="00604E8C"/>
    <w:rsid w:val="00605448"/>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5544"/>
    <w:rsid w:val="00635E54"/>
    <w:rsid w:val="00635EB5"/>
    <w:rsid w:val="00637365"/>
    <w:rsid w:val="0063784E"/>
    <w:rsid w:val="0064026C"/>
    <w:rsid w:val="00640762"/>
    <w:rsid w:val="0064160D"/>
    <w:rsid w:val="0064273E"/>
    <w:rsid w:val="00645281"/>
    <w:rsid w:val="0064588E"/>
    <w:rsid w:val="00645BED"/>
    <w:rsid w:val="00645D8D"/>
    <w:rsid w:val="00647C57"/>
    <w:rsid w:val="00650001"/>
    <w:rsid w:val="00651CE9"/>
    <w:rsid w:val="0065394D"/>
    <w:rsid w:val="00653E6D"/>
    <w:rsid w:val="00655116"/>
    <w:rsid w:val="00656680"/>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4FF"/>
    <w:rsid w:val="00690825"/>
    <w:rsid w:val="00691192"/>
    <w:rsid w:val="00691249"/>
    <w:rsid w:val="006923E1"/>
    <w:rsid w:val="0069278D"/>
    <w:rsid w:val="00694E56"/>
    <w:rsid w:val="00694E7F"/>
    <w:rsid w:val="006A020D"/>
    <w:rsid w:val="006A0369"/>
    <w:rsid w:val="006A0DF9"/>
    <w:rsid w:val="006A1418"/>
    <w:rsid w:val="006A266E"/>
    <w:rsid w:val="006A30D1"/>
    <w:rsid w:val="006A3B80"/>
    <w:rsid w:val="006A6ABB"/>
    <w:rsid w:val="006A702C"/>
    <w:rsid w:val="006B0972"/>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425"/>
    <w:rsid w:val="006D6D4A"/>
    <w:rsid w:val="006E0D8B"/>
    <w:rsid w:val="006E3FA6"/>
    <w:rsid w:val="006E4B76"/>
    <w:rsid w:val="006E4DF2"/>
    <w:rsid w:val="006E6D14"/>
    <w:rsid w:val="006E7091"/>
    <w:rsid w:val="006E7B1A"/>
    <w:rsid w:val="006E7EA8"/>
    <w:rsid w:val="006F06B9"/>
    <w:rsid w:val="006F1829"/>
    <w:rsid w:val="006F1BEF"/>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4133"/>
    <w:rsid w:val="0074552B"/>
    <w:rsid w:val="0074674C"/>
    <w:rsid w:val="007467C4"/>
    <w:rsid w:val="00747352"/>
    <w:rsid w:val="00747660"/>
    <w:rsid w:val="007502BB"/>
    <w:rsid w:val="007506B6"/>
    <w:rsid w:val="00751008"/>
    <w:rsid w:val="0075117B"/>
    <w:rsid w:val="00751CEF"/>
    <w:rsid w:val="0075207B"/>
    <w:rsid w:val="00752A31"/>
    <w:rsid w:val="00753DF1"/>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919B7"/>
    <w:rsid w:val="00793254"/>
    <w:rsid w:val="007942C8"/>
    <w:rsid w:val="00795184"/>
    <w:rsid w:val="00795D1C"/>
    <w:rsid w:val="00795FD3"/>
    <w:rsid w:val="0079637E"/>
    <w:rsid w:val="007963DC"/>
    <w:rsid w:val="007A040F"/>
    <w:rsid w:val="007A0912"/>
    <w:rsid w:val="007A1868"/>
    <w:rsid w:val="007A2705"/>
    <w:rsid w:val="007A2DAA"/>
    <w:rsid w:val="007A4CD1"/>
    <w:rsid w:val="007A755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16AA"/>
    <w:rsid w:val="007F2DE1"/>
    <w:rsid w:val="007F3CA0"/>
    <w:rsid w:val="007F4275"/>
    <w:rsid w:val="007F4592"/>
    <w:rsid w:val="007F4673"/>
    <w:rsid w:val="007F66BF"/>
    <w:rsid w:val="007F722E"/>
    <w:rsid w:val="007F76F2"/>
    <w:rsid w:val="00803002"/>
    <w:rsid w:val="008031A8"/>
    <w:rsid w:val="0080350C"/>
    <w:rsid w:val="008047B3"/>
    <w:rsid w:val="00804C59"/>
    <w:rsid w:val="00805337"/>
    <w:rsid w:val="008057A1"/>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9B1"/>
    <w:rsid w:val="00853F0F"/>
    <w:rsid w:val="00854198"/>
    <w:rsid w:val="0085553E"/>
    <w:rsid w:val="008562E6"/>
    <w:rsid w:val="008578D5"/>
    <w:rsid w:val="00857C04"/>
    <w:rsid w:val="0086138B"/>
    <w:rsid w:val="008618D7"/>
    <w:rsid w:val="0086576A"/>
    <w:rsid w:val="00865F37"/>
    <w:rsid w:val="00866BFD"/>
    <w:rsid w:val="00866DE4"/>
    <w:rsid w:val="008672BF"/>
    <w:rsid w:val="008672DF"/>
    <w:rsid w:val="00870661"/>
    <w:rsid w:val="00870E7C"/>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43A6"/>
    <w:rsid w:val="00885347"/>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295D"/>
    <w:rsid w:val="00912F97"/>
    <w:rsid w:val="0091426C"/>
    <w:rsid w:val="00916F22"/>
    <w:rsid w:val="00916F30"/>
    <w:rsid w:val="00922059"/>
    <w:rsid w:val="009257C1"/>
    <w:rsid w:val="00925941"/>
    <w:rsid w:val="0092603A"/>
    <w:rsid w:val="009264E1"/>
    <w:rsid w:val="00927C10"/>
    <w:rsid w:val="009301DD"/>
    <w:rsid w:val="00930E95"/>
    <w:rsid w:val="00931464"/>
    <w:rsid w:val="00933B79"/>
    <w:rsid w:val="00933BDB"/>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50C"/>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C58"/>
    <w:rsid w:val="00A420C9"/>
    <w:rsid w:val="00A42454"/>
    <w:rsid w:val="00A42ACF"/>
    <w:rsid w:val="00A43A66"/>
    <w:rsid w:val="00A45918"/>
    <w:rsid w:val="00A459AA"/>
    <w:rsid w:val="00A47206"/>
    <w:rsid w:val="00A5065C"/>
    <w:rsid w:val="00A517AB"/>
    <w:rsid w:val="00A51FDE"/>
    <w:rsid w:val="00A52078"/>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EB8"/>
    <w:rsid w:val="00A75895"/>
    <w:rsid w:val="00A75E7C"/>
    <w:rsid w:val="00A76496"/>
    <w:rsid w:val="00A820C2"/>
    <w:rsid w:val="00A82820"/>
    <w:rsid w:val="00A829B0"/>
    <w:rsid w:val="00A82C03"/>
    <w:rsid w:val="00A837B9"/>
    <w:rsid w:val="00A839C0"/>
    <w:rsid w:val="00A85E52"/>
    <w:rsid w:val="00A868FC"/>
    <w:rsid w:val="00A86D60"/>
    <w:rsid w:val="00A91FC2"/>
    <w:rsid w:val="00A92266"/>
    <w:rsid w:val="00A92B4E"/>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1961"/>
    <w:rsid w:val="00AB1C8A"/>
    <w:rsid w:val="00AB2157"/>
    <w:rsid w:val="00AB39A3"/>
    <w:rsid w:val="00AB501C"/>
    <w:rsid w:val="00AB58DB"/>
    <w:rsid w:val="00AB6032"/>
    <w:rsid w:val="00AC02D7"/>
    <w:rsid w:val="00AC2AD6"/>
    <w:rsid w:val="00AC330A"/>
    <w:rsid w:val="00AC334F"/>
    <w:rsid w:val="00AC39F5"/>
    <w:rsid w:val="00AC3DC8"/>
    <w:rsid w:val="00AC41CF"/>
    <w:rsid w:val="00AC4EB4"/>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10292"/>
    <w:rsid w:val="00B10F33"/>
    <w:rsid w:val="00B121A2"/>
    <w:rsid w:val="00B1372C"/>
    <w:rsid w:val="00B1378B"/>
    <w:rsid w:val="00B13C69"/>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7BA"/>
    <w:rsid w:val="00B40D67"/>
    <w:rsid w:val="00B40D98"/>
    <w:rsid w:val="00B41A24"/>
    <w:rsid w:val="00B41F77"/>
    <w:rsid w:val="00B421FB"/>
    <w:rsid w:val="00B422A2"/>
    <w:rsid w:val="00B427AE"/>
    <w:rsid w:val="00B42D8F"/>
    <w:rsid w:val="00B42E31"/>
    <w:rsid w:val="00B43674"/>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464"/>
    <w:rsid w:val="00BC27BB"/>
    <w:rsid w:val="00BC2BFD"/>
    <w:rsid w:val="00BC3839"/>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20097"/>
    <w:rsid w:val="00C202C5"/>
    <w:rsid w:val="00C20490"/>
    <w:rsid w:val="00C21672"/>
    <w:rsid w:val="00C22BFF"/>
    <w:rsid w:val="00C234EA"/>
    <w:rsid w:val="00C23ACE"/>
    <w:rsid w:val="00C23D66"/>
    <w:rsid w:val="00C243BD"/>
    <w:rsid w:val="00C245D5"/>
    <w:rsid w:val="00C25EE9"/>
    <w:rsid w:val="00C263C3"/>
    <w:rsid w:val="00C272DC"/>
    <w:rsid w:val="00C31CEB"/>
    <w:rsid w:val="00C31E2C"/>
    <w:rsid w:val="00C321DD"/>
    <w:rsid w:val="00C33E5F"/>
    <w:rsid w:val="00C34C87"/>
    <w:rsid w:val="00C354EF"/>
    <w:rsid w:val="00C36165"/>
    <w:rsid w:val="00C36DC5"/>
    <w:rsid w:val="00C3722A"/>
    <w:rsid w:val="00C4025D"/>
    <w:rsid w:val="00C40B71"/>
    <w:rsid w:val="00C41386"/>
    <w:rsid w:val="00C423D9"/>
    <w:rsid w:val="00C43146"/>
    <w:rsid w:val="00C43FC7"/>
    <w:rsid w:val="00C44C20"/>
    <w:rsid w:val="00C47105"/>
    <w:rsid w:val="00C47252"/>
    <w:rsid w:val="00C52A37"/>
    <w:rsid w:val="00C536C6"/>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A89"/>
    <w:rsid w:val="00C86AD1"/>
    <w:rsid w:val="00C87839"/>
    <w:rsid w:val="00C905FF"/>
    <w:rsid w:val="00C91467"/>
    <w:rsid w:val="00C914F5"/>
    <w:rsid w:val="00C919D3"/>
    <w:rsid w:val="00C9260A"/>
    <w:rsid w:val="00C93DCC"/>
    <w:rsid w:val="00C947E4"/>
    <w:rsid w:val="00C9530E"/>
    <w:rsid w:val="00C95C0C"/>
    <w:rsid w:val="00CA0978"/>
    <w:rsid w:val="00CA15E3"/>
    <w:rsid w:val="00CA1D9F"/>
    <w:rsid w:val="00CA208A"/>
    <w:rsid w:val="00CA2B28"/>
    <w:rsid w:val="00CA3062"/>
    <w:rsid w:val="00CA31E6"/>
    <w:rsid w:val="00CA5B27"/>
    <w:rsid w:val="00CA69E5"/>
    <w:rsid w:val="00CA7AD1"/>
    <w:rsid w:val="00CB001F"/>
    <w:rsid w:val="00CB1FEB"/>
    <w:rsid w:val="00CB2771"/>
    <w:rsid w:val="00CB2AB1"/>
    <w:rsid w:val="00CB72E5"/>
    <w:rsid w:val="00CB7D8F"/>
    <w:rsid w:val="00CC1C78"/>
    <w:rsid w:val="00CC2FD9"/>
    <w:rsid w:val="00CC35E2"/>
    <w:rsid w:val="00CC3B58"/>
    <w:rsid w:val="00CC3CF1"/>
    <w:rsid w:val="00CC4070"/>
    <w:rsid w:val="00CC467B"/>
    <w:rsid w:val="00CC4DF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4585"/>
    <w:rsid w:val="00CE4FA6"/>
    <w:rsid w:val="00CE56E1"/>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A42"/>
    <w:rsid w:val="00D64DAA"/>
    <w:rsid w:val="00D64EFD"/>
    <w:rsid w:val="00D64FA4"/>
    <w:rsid w:val="00D65666"/>
    <w:rsid w:val="00D67261"/>
    <w:rsid w:val="00D673E6"/>
    <w:rsid w:val="00D676E0"/>
    <w:rsid w:val="00D70B2F"/>
    <w:rsid w:val="00D70D31"/>
    <w:rsid w:val="00D70DE4"/>
    <w:rsid w:val="00D72658"/>
    <w:rsid w:val="00D744FF"/>
    <w:rsid w:val="00D74F33"/>
    <w:rsid w:val="00D75D73"/>
    <w:rsid w:val="00D7687F"/>
    <w:rsid w:val="00D807C9"/>
    <w:rsid w:val="00D80835"/>
    <w:rsid w:val="00D82FEB"/>
    <w:rsid w:val="00D83D60"/>
    <w:rsid w:val="00D841E6"/>
    <w:rsid w:val="00D84487"/>
    <w:rsid w:val="00D84667"/>
    <w:rsid w:val="00D86118"/>
    <w:rsid w:val="00D873CB"/>
    <w:rsid w:val="00D879A7"/>
    <w:rsid w:val="00D87EE8"/>
    <w:rsid w:val="00D90DAC"/>
    <w:rsid w:val="00D91BC3"/>
    <w:rsid w:val="00D92D51"/>
    <w:rsid w:val="00D935E9"/>
    <w:rsid w:val="00D95B75"/>
    <w:rsid w:val="00D96CD7"/>
    <w:rsid w:val="00D97519"/>
    <w:rsid w:val="00DA00AB"/>
    <w:rsid w:val="00DA1B96"/>
    <w:rsid w:val="00DA243F"/>
    <w:rsid w:val="00DA3674"/>
    <w:rsid w:val="00DA3C79"/>
    <w:rsid w:val="00DA4CF4"/>
    <w:rsid w:val="00DA542A"/>
    <w:rsid w:val="00DA5891"/>
    <w:rsid w:val="00DA5B79"/>
    <w:rsid w:val="00DA604A"/>
    <w:rsid w:val="00DA6A90"/>
    <w:rsid w:val="00DA70A8"/>
    <w:rsid w:val="00DA73D2"/>
    <w:rsid w:val="00DA795B"/>
    <w:rsid w:val="00DA7C94"/>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AB1"/>
    <w:rsid w:val="00DD1EC2"/>
    <w:rsid w:val="00DD417D"/>
    <w:rsid w:val="00DD5502"/>
    <w:rsid w:val="00DD589D"/>
    <w:rsid w:val="00DD6316"/>
    <w:rsid w:val="00DD6B33"/>
    <w:rsid w:val="00DD6ED8"/>
    <w:rsid w:val="00DE00D7"/>
    <w:rsid w:val="00DE08DC"/>
    <w:rsid w:val="00DE18F3"/>
    <w:rsid w:val="00DE1B16"/>
    <w:rsid w:val="00DE1E5B"/>
    <w:rsid w:val="00DE225D"/>
    <w:rsid w:val="00DE2506"/>
    <w:rsid w:val="00DE31D1"/>
    <w:rsid w:val="00DE4D1E"/>
    <w:rsid w:val="00DE52FA"/>
    <w:rsid w:val="00DE7196"/>
    <w:rsid w:val="00DE743D"/>
    <w:rsid w:val="00DE745F"/>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4032F"/>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70EF"/>
    <w:rsid w:val="00EA773D"/>
    <w:rsid w:val="00EA7953"/>
    <w:rsid w:val="00EB10D6"/>
    <w:rsid w:val="00EB1C97"/>
    <w:rsid w:val="00EB1F8E"/>
    <w:rsid w:val="00EB2276"/>
    <w:rsid w:val="00EB3670"/>
    <w:rsid w:val="00EB4075"/>
    <w:rsid w:val="00EB467F"/>
    <w:rsid w:val="00EB49E8"/>
    <w:rsid w:val="00EB6C54"/>
    <w:rsid w:val="00EB742E"/>
    <w:rsid w:val="00EC0654"/>
    <w:rsid w:val="00EC43AA"/>
    <w:rsid w:val="00EC61E1"/>
    <w:rsid w:val="00EC6426"/>
    <w:rsid w:val="00ED14CD"/>
    <w:rsid w:val="00ED291D"/>
    <w:rsid w:val="00ED3142"/>
    <w:rsid w:val="00ED48BB"/>
    <w:rsid w:val="00ED4D8C"/>
    <w:rsid w:val="00EE01B5"/>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74EE"/>
    <w:rsid w:val="00F519F1"/>
    <w:rsid w:val="00F54CA0"/>
    <w:rsid w:val="00F55710"/>
    <w:rsid w:val="00F56184"/>
    <w:rsid w:val="00F567F5"/>
    <w:rsid w:val="00F579E4"/>
    <w:rsid w:val="00F57C04"/>
    <w:rsid w:val="00F607D0"/>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7136"/>
    <w:rsid w:val="00F97D38"/>
    <w:rsid w:val="00FA29E9"/>
    <w:rsid w:val="00FA38D1"/>
    <w:rsid w:val="00FA418C"/>
    <w:rsid w:val="00FA58B7"/>
    <w:rsid w:val="00FA60CB"/>
    <w:rsid w:val="00FA6608"/>
    <w:rsid w:val="00FA7D9F"/>
    <w:rsid w:val="00FB097F"/>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9F27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96085416">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35413368">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E372-38EA-4BBB-ABA9-55576F1B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achieves highest turnover in its company history</dc:title>
  <dc:creator>Wohlfarth Andrea</dc:creator>
  <cp:lastModifiedBy>Weiß Lena</cp:lastModifiedBy>
  <cp:revision>2</cp:revision>
  <cp:lastPrinted>2020-09-07T05:28:00Z</cp:lastPrinted>
  <dcterms:created xsi:type="dcterms:W3CDTF">2021-02-08T06:53:00Z</dcterms:created>
  <dcterms:modified xsi:type="dcterms:W3CDTF">2021-02-08T06:53:00Z</dcterms:modified>
</cp:coreProperties>
</file>