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005EB" w14:textId="77777777" w:rsidR="00556DC6" w:rsidRDefault="00556DC6" w:rsidP="000E1710">
      <w:pPr>
        <w:tabs>
          <w:tab w:val="left" w:pos="7797"/>
        </w:tabs>
        <w:ind w:right="1693"/>
        <w:rPr>
          <w:rFonts w:cs="Arial"/>
          <w:b/>
          <w:sz w:val="28"/>
          <w:szCs w:val="28"/>
        </w:rPr>
      </w:pPr>
    </w:p>
    <w:p w14:paraId="3D6B8EAC" w14:textId="77777777" w:rsidR="00556DC6" w:rsidRDefault="00556DC6" w:rsidP="000E1710">
      <w:pPr>
        <w:tabs>
          <w:tab w:val="left" w:pos="7797"/>
        </w:tabs>
        <w:ind w:right="1693"/>
        <w:rPr>
          <w:rFonts w:cs="Arial"/>
          <w:b/>
          <w:sz w:val="28"/>
          <w:szCs w:val="28"/>
        </w:rPr>
      </w:pPr>
    </w:p>
    <w:p w14:paraId="3DA0EEC9" w14:textId="35F2C490" w:rsidR="000F039C" w:rsidRDefault="000F039C" w:rsidP="000E1710">
      <w:pPr>
        <w:tabs>
          <w:tab w:val="left" w:pos="7797"/>
        </w:tabs>
        <w:ind w:right="1693"/>
        <w:rPr>
          <w:rFonts w:cs="Arial"/>
          <w:b/>
          <w:sz w:val="28"/>
          <w:szCs w:val="28"/>
        </w:rPr>
      </w:pPr>
      <w:bookmarkStart w:id="0" w:name="_GoBack"/>
      <w:r>
        <w:rPr>
          <w:rFonts w:cs="Arial"/>
          <w:b/>
          <w:sz w:val="28"/>
          <w:szCs w:val="28"/>
        </w:rPr>
        <w:t>TGW ha ottenuto il maggiore fatturato nella storia dell'azienda</w:t>
      </w:r>
    </w:p>
    <w:bookmarkEnd w:id="0"/>
    <w:p w14:paraId="61F5736D" w14:textId="77777777" w:rsidR="00E95184" w:rsidRPr="004F27BE" w:rsidRDefault="00E95184" w:rsidP="000F039C">
      <w:pPr>
        <w:tabs>
          <w:tab w:val="left" w:pos="7797"/>
        </w:tabs>
        <w:ind w:right="1693"/>
        <w:jc w:val="both"/>
        <w:rPr>
          <w:rFonts w:cs="Arial"/>
          <w:b/>
          <w:sz w:val="22"/>
        </w:rPr>
      </w:pPr>
    </w:p>
    <w:p w14:paraId="205A17B5" w14:textId="77777777" w:rsidR="00E63E18" w:rsidRPr="00DD1EC2" w:rsidRDefault="000F039C" w:rsidP="00C31CEB">
      <w:pPr>
        <w:pStyle w:val="Listenabsatz"/>
        <w:numPr>
          <w:ilvl w:val="0"/>
          <w:numId w:val="24"/>
        </w:numPr>
        <w:ind w:right="1268"/>
        <w:rPr>
          <w:rFonts w:cs="Arial"/>
          <w:b/>
          <w:sz w:val="22"/>
        </w:rPr>
      </w:pPr>
      <w:r>
        <w:rPr>
          <w:rFonts w:cs="Arial"/>
          <w:b/>
          <w:sz w:val="22"/>
        </w:rPr>
        <w:t xml:space="preserve">Ha registrato un incremento del giro d'affari a 835,8 milioni di Euro, raggiungendo </w:t>
      </w:r>
      <w:r>
        <w:rPr>
          <w:rFonts w:cs="Arial"/>
          <w:b/>
          <w:sz w:val="22"/>
        </w:rPr>
        <w:br/>
        <w:t>un nuovo traguardo positivo con la maggiore crescita nei bilanci aziendali degli ultimi 50 anni</w:t>
      </w:r>
    </w:p>
    <w:p w14:paraId="3B4C3EF0" w14:textId="77777777" w:rsidR="001A08BF" w:rsidRPr="001A08BF" w:rsidRDefault="00142D57" w:rsidP="00C31CEB">
      <w:pPr>
        <w:pStyle w:val="Listenabsatz"/>
        <w:numPr>
          <w:ilvl w:val="0"/>
          <w:numId w:val="24"/>
        </w:numPr>
        <w:ind w:right="1268"/>
        <w:rPr>
          <w:rFonts w:cs="Arial"/>
          <w:b/>
          <w:szCs w:val="20"/>
        </w:rPr>
      </w:pPr>
      <w:r>
        <w:rPr>
          <w:rFonts w:cs="Arial"/>
          <w:b/>
          <w:sz w:val="22"/>
        </w:rPr>
        <w:t xml:space="preserve">Il numero di collaboratori totale è 3.667, con un aumento di 250 persone </w:t>
      </w:r>
      <w:r>
        <w:rPr>
          <w:rFonts w:cs="Arial"/>
          <w:b/>
          <w:sz w:val="18"/>
          <w:szCs w:val="18"/>
        </w:rPr>
        <w:t>(aggiornamento: 30 giugno 2020)</w:t>
      </w:r>
    </w:p>
    <w:p w14:paraId="77176243" w14:textId="77777777" w:rsidR="00C31CEB" w:rsidRPr="00C31CEB" w:rsidRDefault="00C31CEB" w:rsidP="00C31CEB">
      <w:pPr>
        <w:pStyle w:val="Listenabsatz"/>
        <w:numPr>
          <w:ilvl w:val="0"/>
          <w:numId w:val="24"/>
        </w:numPr>
        <w:ind w:right="1268"/>
        <w:rPr>
          <w:rFonts w:cs="Arial"/>
          <w:b/>
          <w:szCs w:val="20"/>
        </w:rPr>
      </w:pPr>
      <w:r>
        <w:rPr>
          <w:rFonts w:cs="Arial"/>
          <w:b/>
          <w:sz w:val="22"/>
        </w:rPr>
        <w:t xml:space="preserve">Nel corrente anno di bilancio TGW ha assunto oltre 400 </w:t>
      </w:r>
      <w:r>
        <w:rPr>
          <w:rFonts w:cs="Arial"/>
          <w:b/>
          <w:sz w:val="22"/>
        </w:rPr>
        <w:br/>
        <w:t>nuovi collaboratori</w:t>
      </w:r>
    </w:p>
    <w:p w14:paraId="5721A5D1" w14:textId="77777777" w:rsidR="007F66BF" w:rsidRPr="00DD1EC2" w:rsidRDefault="007F66BF" w:rsidP="00C31CEB">
      <w:pPr>
        <w:pStyle w:val="Listenabsatz"/>
        <w:numPr>
          <w:ilvl w:val="0"/>
          <w:numId w:val="24"/>
        </w:numPr>
        <w:ind w:right="1268"/>
        <w:rPr>
          <w:rFonts w:cs="Arial"/>
          <w:b/>
          <w:sz w:val="22"/>
        </w:rPr>
      </w:pPr>
      <w:r>
        <w:rPr>
          <w:rFonts w:cs="Arial"/>
          <w:b/>
          <w:sz w:val="22"/>
        </w:rPr>
        <w:t>L'EBIT è salito a 37,1 milioni di Euro</w:t>
      </w:r>
    </w:p>
    <w:p w14:paraId="40E317F8" w14:textId="77777777" w:rsidR="002D4595" w:rsidRDefault="002D4595" w:rsidP="00A9753C">
      <w:pPr>
        <w:tabs>
          <w:tab w:val="left" w:pos="2514"/>
          <w:tab w:val="left" w:pos="7797"/>
        </w:tabs>
        <w:ind w:right="1693"/>
        <w:rPr>
          <w:rFonts w:cs="Arial"/>
          <w:b/>
          <w:szCs w:val="20"/>
        </w:rPr>
      </w:pPr>
    </w:p>
    <w:p w14:paraId="631B6526" w14:textId="77777777" w:rsidR="0052724A" w:rsidRDefault="00A93BE5" w:rsidP="000F039C">
      <w:pPr>
        <w:tabs>
          <w:tab w:val="left" w:pos="7797"/>
        </w:tabs>
        <w:ind w:right="1693"/>
        <w:jc w:val="both"/>
        <w:rPr>
          <w:rFonts w:cs="Arial"/>
          <w:b/>
          <w:szCs w:val="20"/>
        </w:rPr>
      </w:pPr>
      <w:r>
        <w:rPr>
          <w:rFonts w:cs="Arial"/>
          <w:b/>
          <w:szCs w:val="20"/>
        </w:rPr>
        <w:t>(Marchtrenk, 25 settembre 2020) TGW Logistics Group con sede a Marchtrenk ha chiuso positivamente l'anno finanziario 2019/2020 (1° luglio 2019 - 30 giugno 2020). Il fatturato dell'azienda specializzata in intralogistica e operante a livello internazionale è cresciuto da 719 a 835,8 milioni di Euro. Si tratta di un riguardevole traguardo, che segna un nuovo valore record in 50 anni di storia aziendale. Anche il numero di collaboratori è salito fino a 3.667, con oltre 250 nuovi dipendenti. Il percorso di crescita degli ultimi anni è stato infatti mantenuto e rafforzato.</w:t>
      </w:r>
    </w:p>
    <w:p w14:paraId="2D045DC3" w14:textId="77777777" w:rsidR="00A93BE5" w:rsidRPr="004D52DA" w:rsidRDefault="00A93BE5" w:rsidP="000F039C">
      <w:pPr>
        <w:tabs>
          <w:tab w:val="left" w:pos="7797"/>
        </w:tabs>
        <w:ind w:right="1693"/>
        <w:jc w:val="both"/>
        <w:rPr>
          <w:rFonts w:cs="Arial"/>
          <w:szCs w:val="20"/>
        </w:rPr>
      </w:pPr>
    </w:p>
    <w:p w14:paraId="1B8DDE74" w14:textId="77777777" w:rsidR="00F23766" w:rsidRDefault="00314FF1" w:rsidP="000F039C">
      <w:pPr>
        <w:tabs>
          <w:tab w:val="left" w:pos="7797"/>
        </w:tabs>
        <w:ind w:right="1693"/>
        <w:jc w:val="both"/>
        <w:rPr>
          <w:rFonts w:cs="Arial"/>
          <w:szCs w:val="20"/>
        </w:rPr>
      </w:pPr>
      <w:r>
        <w:rPr>
          <w:rFonts w:cs="Arial"/>
          <w:szCs w:val="20"/>
        </w:rPr>
        <w:t>Nell'anno finanziario 2019/20 l'azienda specializzata in intralogistica TGW ha incamerato ordini per un volume complessivo di 822 milioni di Euro in Europa, USA e Cina. Harald Schröpf, amministratore delegato di TGW Logistics Group, sottolinea:</w:t>
      </w:r>
    </w:p>
    <w:p w14:paraId="2C9BCF19" w14:textId="77777777" w:rsidR="00F23766" w:rsidRPr="00741266" w:rsidRDefault="00F23766" w:rsidP="000F039C">
      <w:pPr>
        <w:tabs>
          <w:tab w:val="left" w:pos="7797"/>
        </w:tabs>
        <w:ind w:right="1693"/>
        <w:jc w:val="both"/>
        <w:rPr>
          <w:rFonts w:cs="Arial"/>
          <w:szCs w:val="20"/>
        </w:rPr>
      </w:pPr>
    </w:p>
    <w:p w14:paraId="7064CC71" w14:textId="77777777" w:rsidR="000F039C" w:rsidRPr="0003447B" w:rsidRDefault="00F23766" w:rsidP="00142D57">
      <w:pPr>
        <w:tabs>
          <w:tab w:val="left" w:pos="6237"/>
        </w:tabs>
        <w:ind w:left="709" w:right="2402"/>
        <w:jc w:val="both"/>
        <w:rPr>
          <w:rFonts w:cs="Arial"/>
          <w:i/>
          <w:szCs w:val="20"/>
        </w:rPr>
      </w:pPr>
      <w:r>
        <w:rPr>
          <w:rFonts w:cs="Arial"/>
          <w:i/>
          <w:szCs w:val="20"/>
        </w:rPr>
        <w:t>"Nell'anno di bilancio che si è concluso molte aziende hanno fatto ordini a TGW per l'automatizzazione della propria intralogistica: da Urban Outfitters a Zalando fino a Personalshop, distributore austriaco di abbigliamento nel campo della moda. Rispetto all'anno precedente abbiamo incrementato il nostro giro d'affari di oltre il 16 percento fino a 835,8 milioni di Euro, raggiungendo un nuovo valore record nella nostra storia aziendale."</w:t>
      </w:r>
    </w:p>
    <w:p w14:paraId="66040D80" w14:textId="77777777" w:rsidR="006B47AA" w:rsidRDefault="006B47AA" w:rsidP="00142D57">
      <w:pPr>
        <w:tabs>
          <w:tab w:val="left" w:pos="6237"/>
        </w:tabs>
        <w:ind w:left="709" w:right="2402"/>
        <w:jc w:val="both"/>
        <w:rPr>
          <w:rFonts w:cs="Arial"/>
          <w:i/>
          <w:sz w:val="18"/>
          <w:szCs w:val="18"/>
        </w:rPr>
      </w:pPr>
    </w:p>
    <w:p w14:paraId="4486CA7B" w14:textId="77777777" w:rsidR="006B47AA" w:rsidRPr="006B47AA" w:rsidRDefault="0003447B" w:rsidP="006B47AA">
      <w:pPr>
        <w:tabs>
          <w:tab w:val="left" w:pos="6237"/>
        </w:tabs>
        <w:ind w:right="2402"/>
        <w:jc w:val="both"/>
        <w:rPr>
          <w:rFonts w:cs="Arial"/>
          <w:b/>
          <w:sz w:val="18"/>
          <w:szCs w:val="18"/>
        </w:rPr>
      </w:pPr>
      <w:r>
        <w:rPr>
          <w:rFonts w:cs="Arial"/>
          <w:b/>
          <w:sz w:val="18"/>
          <w:szCs w:val="18"/>
        </w:rPr>
        <w:lastRenderedPageBreak/>
        <w:t>Incremento dell'EBIT e partecipazione duale dei collaboratori</w:t>
      </w:r>
    </w:p>
    <w:p w14:paraId="0212A881" w14:textId="77777777" w:rsidR="0050308A" w:rsidRDefault="0050308A" w:rsidP="00886389">
      <w:pPr>
        <w:tabs>
          <w:tab w:val="left" w:pos="7797"/>
        </w:tabs>
        <w:ind w:right="1693"/>
        <w:jc w:val="both"/>
        <w:rPr>
          <w:rFonts w:cs="Arial"/>
          <w:szCs w:val="20"/>
        </w:rPr>
      </w:pPr>
    </w:p>
    <w:p w14:paraId="20D70BD8" w14:textId="082BF2A6" w:rsidR="00836001" w:rsidRDefault="00E14AA9" w:rsidP="00886389">
      <w:pPr>
        <w:tabs>
          <w:tab w:val="left" w:pos="7797"/>
        </w:tabs>
        <w:ind w:right="1693"/>
        <w:jc w:val="both"/>
        <w:rPr>
          <w:rFonts w:cs="Arial"/>
          <w:szCs w:val="20"/>
        </w:rPr>
      </w:pPr>
      <w:r>
        <w:rPr>
          <w:rFonts w:cs="Arial"/>
          <w:szCs w:val="20"/>
        </w:rPr>
        <w:t>L'EBIT si attesta a 37,1 milioni di Euro rispetto ai 27,9 milioni dell'anno precedente. Questi numeri si leggono come un incremento del 33 percento. Quale fondazione imprenditoriale, TGW non può essere venduta; operare come azienda responsabile a livello interno e sociale è un concetto inscindibile e imprescindibile per TGW. Due terzi del guadagno resta in azienda e viene investito per lo sviluppo dei collaboratori, dell'infrastruttura e delle innovazioni future. Tutto ciò rende TGW uno stabile partner commerciale e un datore di lavoro affidabile. Il dieci percento dei guadagni di TGW è inoltre destinato ai progetti di comune utilità della fondazione Future Wings, con l'obiettivo di realizzare uno sviluppo e una crescita personale senza diseguaglianze per bambini e giovani.</w:t>
      </w:r>
    </w:p>
    <w:p w14:paraId="74EE3309" w14:textId="77777777" w:rsidR="0003447B" w:rsidRDefault="0003447B" w:rsidP="00886389">
      <w:pPr>
        <w:tabs>
          <w:tab w:val="left" w:pos="7797"/>
        </w:tabs>
        <w:ind w:right="1693"/>
        <w:jc w:val="both"/>
        <w:rPr>
          <w:rFonts w:cs="Arial"/>
          <w:szCs w:val="20"/>
        </w:rPr>
      </w:pPr>
    </w:p>
    <w:p w14:paraId="7128E1BE" w14:textId="58E0D271" w:rsidR="00480054" w:rsidRDefault="00BD36E9" w:rsidP="00886389">
      <w:pPr>
        <w:tabs>
          <w:tab w:val="left" w:pos="7797"/>
        </w:tabs>
        <w:ind w:right="1693"/>
        <w:jc w:val="both"/>
        <w:rPr>
          <w:rFonts w:cs="Arial"/>
          <w:szCs w:val="20"/>
        </w:rPr>
      </w:pPr>
      <w:r>
        <w:rPr>
          <w:rFonts w:cs="Arial"/>
          <w:szCs w:val="20"/>
        </w:rPr>
        <w:t>Già per la terza volta TGW ha erogato una partecipazione duale per i propri collaboratori pari a 4,1 milioni di Euro. All'insegna della trasparenza e dell'equità tutti i collaboratori ricevono lo stesso contributo base, indipendentemente dalla funzione e dalla sede di lavoro, dall'Austria alla Cina o agli USA.</w:t>
      </w:r>
    </w:p>
    <w:p w14:paraId="4869316E" w14:textId="77777777" w:rsidR="008E3FA1" w:rsidRDefault="00D57984" w:rsidP="00886389">
      <w:pPr>
        <w:tabs>
          <w:tab w:val="left" w:pos="7797"/>
        </w:tabs>
        <w:ind w:right="1693"/>
        <w:jc w:val="both"/>
        <w:rPr>
          <w:rFonts w:cs="Arial"/>
          <w:szCs w:val="20"/>
        </w:rPr>
      </w:pPr>
      <w:r>
        <w:rPr>
          <w:rFonts w:cs="Arial"/>
          <w:szCs w:val="20"/>
        </w:rPr>
        <w:t xml:space="preserve"> </w:t>
      </w:r>
    </w:p>
    <w:p w14:paraId="069A2919" w14:textId="4E811AC6" w:rsidR="00AE4EDA" w:rsidRDefault="009348E3" w:rsidP="00886389">
      <w:pPr>
        <w:tabs>
          <w:tab w:val="left" w:pos="7797"/>
        </w:tabs>
        <w:ind w:right="1693"/>
        <w:jc w:val="both"/>
        <w:rPr>
          <w:rFonts w:cs="Arial"/>
          <w:b/>
          <w:szCs w:val="20"/>
        </w:rPr>
      </w:pPr>
      <w:r>
        <w:rPr>
          <w:rFonts w:cs="Arial"/>
          <w:b/>
          <w:szCs w:val="20"/>
        </w:rPr>
        <w:t>I numero in breve</w:t>
      </w:r>
    </w:p>
    <w:p w14:paraId="49ECEF27" w14:textId="77777777" w:rsidR="00182632" w:rsidRPr="00B576E9" w:rsidRDefault="00182632" w:rsidP="00886389">
      <w:pPr>
        <w:tabs>
          <w:tab w:val="left" w:pos="7797"/>
        </w:tabs>
        <w:ind w:right="1693"/>
        <w:jc w:val="both"/>
        <w:rPr>
          <w:rFonts w:cs="Arial"/>
          <w:b/>
          <w:szCs w:val="20"/>
          <w:lang w:val="en-AU"/>
        </w:rPr>
      </w:pPr>
    </w:p>
    <w:tbl>
      <w:tblPr>
        <w:tblW w:w="8077" w:type="dxa"/>
        <w:tblCellMar>
          <w:left w:w="0" w:type="dxa"/>
          <w:right w:w="0" w:type="dxa"/>
        </w:tblCellMar>
        <w:tblLook w:val="0420" w:firstRow="1" w:lastRow="0" w:firstColumn="0" w:lastColumn="0" w:noHBand="0" w:noVBand="1"/>
      </w:tblPr>
      <w:tblGrid>
        <w:gridCol w:w="3488"/>
        <w:gridCol w:w="2219"/>
        <w:gridCol w:w="2370"/>
      </w:tblGrid>
      <w:tr w:rsidR="007D1424" w:rsidRPr="007D1424" w14:paraId="00752A40" w14:textId="77777777" w:rsidTr="007D1424">
        <w:trPr>
          <w:trHeight w:val="786"/>
        </w:trPr>
        <w:tc>
          <w:tcPr>
            <w:tcW w:w="3488"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14:paraId="447E979A" w14:textId="77777777" w:rsidR="007D1424" w:rsidRPr="007D1424" w:rsidRDefault="007D1424" w:rsidP="007D1424">
            <w:pPr>
              <w:spacing w:line="240" w:lineRule="auto"/>
              <w:rPr>
                <w:rFonts w:eastAsia="Times New Roman" w:cs="Arial"/>
                <w:sz w:val="36"/>
                <w:szCs w:val="36"/>
              </w:rPr>
            </w:pPr>
            <w:r w:rsidRPr="007D1424">
              <w:rPr>
                <w:rFonts w:eastAsia="Times New Roman" w:cs="Arial"/>
                <w:b/>
                <w:bCs/>
                <w:color w:val="FFFFFF"/>
                <w:kern w:val="24"/>
                <w:sz w:val="30"/>
                <w:szCs w:val="30"/>
              </w:rPr>
              <w:t>Financial year</w:t>
            </w:r>
          </w:p>
        </w:tc>
        <w:tc>
          <w:tcPr>
            <w:tcW w:w="2219"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14:paraId="478ACC88" w14:textId="77777777" w:rsidR="007D1424" w:rsidRPr="007D1424" w:rsidRDefault="007D1424" w:rsidP="007D1424">
            <w:pPr>
              <w:spacing w:line="240" w:lineRule="auto"/>
              <w:jc w:val="center"/>
              <w:rPr>
                <w:rFonts w:eastAsia="Times New Roman" w:cs="Arial"/>
                <w:sz w:val="36"/>
                <w:szCs w:val="36"/>
              </w:rPr>
            </w:pPr>
            <w:r w:rsidRPr="007D1424">
              <w:rPr>
                <w:rFonts w:eastAsia="Times New Roman" w:cs="Arial"/>
                <w:color w:val="FFFFFF"/>
                <w:kern w:val="24"/>
                <w:sz w:val="30"/>
                <w:szCs w:val="30"/>
              </w:rPr>
              <w:t>2018/2019</w:t>
            </w:r>
          </w:p>
          <w:p w14:paraId="32D5523A" w14:textId="77777777" w:rsidR="007D1424" w:rsidRPr="007D1424" w:rsidRDefault="007D1424" w:rsidP="007D1424">
            <w:pPr>
              <w:spacing w:line="240" w:lineRule="auto"/>
              <w:jc w:val="center"/>
              <w:rPr>
                <w:rFonts w:eastAsia="Times New Roman" w:cs="Arial"/>
                <w:sz w:val="36"/>
                <w:szCs w:val="36"/>
              </w:rPr>
            </w:pPr>
            <w:r w:rsidRPr="007D1424">
              <w:rPr>
                <w:rFonts w:eastAsia="Times New Roman" w:cs="Arial"/>
                <w:color w:val="FFFFFF"/>
                <w:kern w:val="24"/>
                <w:szCs w:val="20"/>
              </w:rPr>
              <w:t>1 July 18 – 30 June 19</w:t>
            </w:r>
          </w:p>
        </w:tc>
        <w:tc>
          <w:tcPr>
            <w:tcW w:w="2370"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14:paraId="3CC04639" w14:textId="77777777" w:rsidR="007D1424" w:rsidRPr="007D1424" w:rsidRDefault="007D1424" w:rsidP="007D1424">
            <w:pPr>
              <w:spacing w:line="240" w:lineRule="auto"/>
              <w:jc w:val="center"/>
              <w:rPr>
                <w:rFonts w:eastAsia="Times New Roman" w:cs="Arial"/>
                <w:sz w:val="36"/>
                <w:szCs w:val="36"/>
              </w:rPr>
            </w:pPr>
            <w:r w:rsidRPr="007D1424">
              <w:rPr>
                <w:rFonts w:eastAsia="Times New Roman" w:cs="Arial"/>
                <w:b/>
                <w:bCs/>
                <w:color w:val="FFFFFF"/>
                <w:kern w:val="24"/>
                <w:sz w:val="30"/>
                <w:szCs w:val="30"/>
              </w:rPr>
              <w:t>2019/2020</w:t>
            </w:r>
          </w:p>
          <w:p w14:paraId="3752D9AA" w14:textId="77777777" w:rsidR="007D1424" w:rsidRPr="007D1424" w:rsidRDefault="007D1424" w:rsidP="007D1424">
            <w:pPr>
              <w:spacing w:line="240" w:lineRule="auto"/>
              <w:jc w:val="center"/>
              <w:rPr>
                <w:rFonts w:eastAsia="Times New Roman" w:cs="Arial"/>
                <w:sz w:val="36"/>
                <w:szCs w:val="36"/>
              </w:rPr>
            </w:pPr>
            <w:r w:rsidRPr="007D1424">
              <w:rPr>
                <w:rFonts w:eastAsia="Times New Roman" w:cs="Arial"/>
                <w:color w:val="FFFFFF"/>
                <w:kern w:val="24"/>
                <w:szCs w:val="20"/>
                <w:lang w:val="da-DK"/>
              </w:rPr>
              <w:t>1 July 19 – 30 June 20</w:t>
            </w:r>
          </w:p>
        </w:tc>
      </w:tr>
      <w:tr w:rsidR="007D1424" w:rsidRPr="007D1424" w14:paraId="6E7BC0E9" w14:textId="77777777" w:rsidTr="007D1424">
        <w:trPr>
          <w:trHeight w:val="531"/>
        </w:trPr>
        <w:tc>
          <w:tcPr>
            <w:tcW w:w="3488"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9E28469" w14:textId="77777777" w:rsidR="007D1424" w:rsidRPr="007D1424" w:rsidRDefault="007D1424" w:rsidP="007D1424">
            <w:pPr>
              <w:spacing w:line="240" w:lineRule="auto"/>
              <w:rPr>
                <w:rFonts w:eastAsia="Times New Roman" w:cs="Arial"/>
                <w:sz w:val="36"/>
                <w:szCs w:val="36"/>
              </w:rPr>
            </w:pPr>
            <w:r w:rsidRPr="007D1424">
              <w:rPr>
                <w:rFonts w:eastAsia="Times New Roman" w:cs="Arial"/>
                <w:b/>
                <w:bCs/>
                <w:color w:val="000000"/>
                <w:kern w:val="24"/>
                <w:sz w:val="28"/>
                <w:szCs w:val="28"/>
              </w:rPr>
              <w:t xml:space="preserve">Turnover </w:t>
            </w:r>
            <w:r w:rsidRPr="007D1424">
              <w:rPr>
                <w:rFonts w:eastAsia="Times New Roman" w:cs="Arial"/>
                <w:color w:val="000000"/>
                <w:kern w:val="24"/>
                <w:szCs w:val="20"/>
              </w:rPr>
              <w:t>(MEUR)</w:t>
            </w:r>
          </w:p>
        </w:tc>
        <w:tc>
          <w:tcPr>
            <w:tcW w:w="2219"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1FE7B99" w14:textId="77777777" w:rsidR="007D1424" w:rsidRPr="007D1424" w:rsidRDefault="007D1424" w:rsidP="007D1424">
            <w:pPr>
              <w:spacing w:line="240" w:lineRule="auto"/>
              <w:jc w:val="center"/>
              <w:rPr>
                <w:rFonts w:eastAsia="Times New Roman" w:cs="Arial"/>
                <w:sz w:val="36"/>
                <w:szCs w:val="36"/>
              </w:rPr>
            </w:pPr>
            <w:r w:rsidRPr="007D1424">
              <w:rPr>
                <w:rFonts w:eastAsia="Times New Roman" w:cs="Arial"/>
                <w:color w:val="000000"/>
                <w:kern w:val="24"/>
                <w:sz w:val="28"/>
                <w:szCs w:val="28"/>
              </w:rPr>
              <w:t>719,6</w:t>
            </w:r>
          </w:p>
        </w:tc>
        <w:tc>
          <w:tcPr>
            <w:tcW w:w="237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AD87E8D" w14:textId="77777777" w:rsidR="007D1424" w:rsidRPr="007D1424" w:rsidRDefault="007D1424" w:rsidP="007D1424">
            <w:pPr>
              <w:spacing w:line="240" w:lineRule="auto"/>
              <w:jc w:val="center"/>
              <w:rPr>
                <w:rFonts w:eastAsia="Times New Roman" w:cs="Arial"/>
                <w:sz w:val="36"/>
                <w:szCs w:val="36"/>
              </w:rPr>
            </w:pPr>
            <w:r w:rsidRPr="007D1424">
              <w:rPr>
                <w:rFonts w:eastAsia="Times New Roman" w:cs="Arial"/>
                <w:b/>
                <w:bCs/>
                <w:color w:val="000000"/>
                <w:kern w:val="24"/>
                <w:sz w:val="28"/>
                <w:szCs w:val="28"/>
              </w:rPr>
              <w:t>835,8</w:t>
            </w:r>
          </w:p>
        </w:tc>
      </w:tr>
      <w:tr w:rsidR="007D1424" w:rsidRPr="007D1424" w14:paraId="3AC8AE2C" w14:textId="77777777" w:rsidTr="007D1424">
        <w:trPr>
          <w:trHeight w:val="531"/>
        </w:trPr>
        <w:tc>
          <w:tcPr>
            <w:tcW w:w="34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1CA494BF" w14:textId="77777777" w:rsidR="007D1424" w:rsidRPr="007D1424" w:rsidRDefault="007D1424" w:rsidP="007D1424">
            <w:pPr>
              <w:spacing w:line="240" w:lineRule="auto"/>
              <w:rPr>
                <w:rFonts w:eastAsia="Times New Roman" w:cs="Arial"/>
                <w:sz w:val="36"/>
                <w:szCs w:val="36"/>
              </w:rPr>
            </w:pPr>
            <w:r w:rsidRPr="007D1424">
              <w:rPr>
                <w:rFonts w:eastAsia="Times New Roman" w:cs="Arial"/>
                <w:b/>
                <w:bCs/>
                <w:color w:val="000000"/>
                <w:kern w:val="24"/>
                <w:sz w:val="28"/>
                <w:szCs w:val="28"/>
              </w:rPr>
              <w:t xml:space="preserve">EBIT </w:t>
            </w:r>
            <w:r w:rsidRPr="007D1424">
              <w:rPr>
                <w:rFonts w:eastAsia="Times New Roman" w:cs="Arial"/>
                <w:color w:val="000000"/>
                <w:kern w:val="24"/>
                <w:szCs w:val="20"/>
              </w:rPr>
              <w:t>(MEUR)</w:t>
            </w:r>
          </w:p>
        </w:tc>
        <w:tc>
          <w:tcPr>
            <w:tcW w:w="221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70EB1EA7" w14:textId="77777777" w:rsidR="007D1424" w:rsidRPr="007D1424" w:rsidRDefault="007D1424" w:rsidP="007D1424">
            <w:pPr>
              <w:spacing w:line="240" w:lineRule="auto"/>
              <w:jc w:val="center"/>
              <w:rPr>
                <w:rFonts w:eastAsia="Times New Roman" w:cs="Arial"/>
                <w:sz w:val="36"/>
                <w:szCs w:val="36"/>
              </w:rPr>
            </w:pPr>
            <w:r w:rsidRPr="007D1424">
              <w:rPr>
                <w:rFonts w:eastAsia="Times New Roman" w:cs="Arial"/>
                <w:color w:val="000000"/>
                <w:kern w:val="24"/>
                <w:sz w:val="28"/>
                <w:szCs w:val="28"/>
              </w:rPr>
              <w:t>27,9</w:t>
            </w:r>
          </w:p>
        </w:tc>
        <w:tc>
          <w:tcPr>
            <w:tcW w:w="237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703E083" w14:textId="77777777" w:rsidR="007D1424" w:rsidRPr="007D1424" w:rsidRDefault="007D1424" w:rsidP="007D1424">
            <w:pPr>
              <w:spacing w:line="240" w:lineRule="auto"/>
              <w:jc w:val="center"/>
              <w:rPr>
                <w:rFonts w:eastAsia="Times New Roman" w:cs="Arial"/>
                <w:sz w:val="36"/>
                <w:szCs w:val="36"/>
              </w:rPr>
            </w:pPr>
            <w:r w:rsidRPr="007D1424">
              <w:rPr>
                <w:rFonts w:eastAsia="Times New Roman" w:cs="Arial"/>
                <w:b/>
                <w:bCs/>
                <w:color w:val="000000"/>
                <w:kern w:val="24"/>
                <w:sz w:val="28"/>
                <w:szCs w:val="28"/>
              </w:rPr>
              <w:t>37,1</w:t>
            </w:r>
          </w:p>
        </w:tc>
      </w:tr>
      <w:tr w:rsidR="007D1424" w:rsidRPr="007D1424" w14:paraId="3FDC92A1" w14:textId="77777777" w:rsidTr="007D1424">
        <w:trPr>
          <w:trHeight w:val="531"/>
        </w:trPr>
        <w:tc>
          <w:tcPr>
            <w:tcW w:w="3488"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3FCEAABF" w14:textId="77777777" w:rsidR="007D1424" w:rsidRPr="007D1424" w:rsidRDefault="007D1424" w:rsidP="007D1424">
            <w:pPr>
              <w:spacing w:line="240" w:lineRule="auto"/>
              <w:rPr>
                <w:rFonts w:eastAsia="Times New Roman" w:cs="Arial"/>
                <w:sz w:val="36"/>
                <w:szCs w:val="36"/>
              </w:rPr>
            </w:pPr>
            <w:r w:rsidRPr="007D1424">
              <w:rPr>
                <w:rFonts w:eastAsia="Times New Roman" w:cs="Arial"/>
                <w:b/>
                <w:bCs/>
                <w:color w:val="000000"/>
                <w:kern w:val="24"/>
                <w:sz w:val="28"/>
                <w:szCs w:val="28"/>
              </w:rPr>
              <w:t xml:space="preserve">Employee Participation </w:t>
            </w:r>
            <w:r w:rsidRPr="007D1424">
              <w:rPr>
                <w:rFonts w:eastAsia="Times New Roman" w:cs="Arial"/>
                <w:color w:val="000000"/>
                <w:kern w:val="24"/>
                <w:szCs w:val="20"/>
              </w:rPr>
              <w:t>(MEUR)</w:t>
            </w:r>
          </w:p>
        </w:tc>
        <w:tc>
          <w:tcPr>
            <w:tcW w:w="221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76793647" w14:textId="77777777" w:rsidR="007D1424" w:rsidRPr="007D1424" w:rsidRDefault="007D1424" w:rsidP="007D1424">
            <w:pPr>
              <w:spacing w:line="240" w:lineRule="auto"/>
              <w:jc w:val="center"/>
              <w:rPr>
                <w:rFonts w:eastAsia="Times New Roman" w:cs="Arial"/>
                <w:sz w:val="36"/>
                <w:szCs w:val="36"/>
              </w:rPr>
            </w:pPr>
            <w:r w:rsidRPr="007D1424">
              <w:rPr>
                <w:rFonts w:eastAsia="Times New Roman" w:cs="Arial"/>
                <w:color w:val="000000"/>
                <w:kern w:val="24"/>
                <w:sz w:val="28"/>
                <w:szCs w:val="28"/>
              </w:rPr>
              <w:t>3,1</w:t>
            </w:r>
          </w:p>
        </w:tc>
        <w:tc>
          <w:tcPr>
            <w:tcW w:w="237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23243A48" w14:textId="77777777" w:rsidR="007D1424" w:rsidRPr="007D1424" w:rsidRDefault="007D1424" w:rsidP="007D1424">
            <w:pPr>
              <w:spacing w:line="240" w:lineRule="auto"/>
              <w:jc w:val="center"/>
              <w:rPr>
                <w:rFonts w:eastAsia="Times New Roman" w:cs="Arial"/>
                <w:sz w:val="36"/>
                <w:szCs w:val="36"/>
              </w:rPr>
            </w:pPr>
            <w:r w:rsidRPr="007D1424">
              <w:rPr>
                <w:rFonts w:eastAsia="Times New Roman" w:cs="Arial"/>
                <w:b/>
                <w:bCs/>
                <w:color w:val="000000"/>
                <w:kern w:val="24"/>
                <w:sz w:val="28"/>
                <w:szCs w:val="28"/>
              </w:rPr>
              <w:t>4,1</w:t>
            </w:r>
          </w:p>
        </w:tc>
      </w:tr>
      <w:tr w:rsidR="007D1424" w:rsidRPr="007D1424" w14:paraId="7F9166B6" w14:textId="77777777" w:rsidTr="007D1424">
        <w:trPr>
          <w:trHeight w:val="531"/>
        </w:trPr>
        <w:tc>
          <w:tcPr>
            <w:tcW w:w="3488"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0BF2065B" w14:textId="77777777" w:rsidR="007D1424" w:rsidRPr="007D1424" w:rsidRDefault="007D1424" w:rsidP="007D1424">
            <w:pPr>
              <w:spacing w:line="240" w:lineRule="auto"/>
              <w:rPr>
                <w:rFonts w:eastAsia="Times New Roman" w:cs="Arial"/>
                <w:sz w:val="36"/>
                <w:szCs w:val="36"/>
              </w:rPr>
            </w:pPr>
            <w:r w:rsidRPr="007D1424">
              <w:rPr>
                <w:rFonts w:eastAsia="Times New Roman" w:cs="Arial"/>
                <w:b/>
                <w:bCs/>
                <w:color w:val="000000"/>
                <w:kern w:val="24"/>
                <w:sz w:val="28"/>
                <w:szCs w:val="28"/>
              </w:rPr>
              <w:t>Employees</w:t>
            </w:r>
          </w:p>
        </w:tc>
        <w:tc>
          <w:tcPr>
            <w:tcW w:w="221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EEA78B2" w14:textId="77777777" w:rsidR="007D1424" w:rsidRPr="007D1424" w:rsidRDefault="007D1424" w:rsidP="007D1424">
            <w:pPr>
              <w:spacing w:line="240" w:lineRule="auto"/>
              <w:jc w:val="center"/>
              <w:rPr>
                <w:rFonts w:eastAsia="Times New Roman" w:cs="Arial"/>
                <w:sz w:val="36"/>
                <w:szCs w:val="36"/>
              </w:rPr>
            </w:pPr>
            <w:r w:rsidRPr="007D1424">
              <w:rPr>
                <w:rFonts w:eastAsia="Times New Roman" w:cs="Arial"/>
                <w:color w:val="000000"/>
                <w:kern w:val="24"/>
                <w:sz w:val="28"/>
                <w:szCs w:val="28"/>
              </w:rPr>
              <w:t>3.415</w:t>
            </w:r>
          </w:p>
        </w:tc>
        <w:tc>
          <w:tcPr>
            <w:tcW w:w="237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42521DF" w14:textId="77777777" w:rsidR="007D1424" w:rsidRPr="007D1424" w:rsidRDefault="007D1424" w:rsidP="007D1424">
            <w:pPr>
              <w:spacing w:line="240" w:lineRule="auto"/>
              <w:jc w:val="center"/>
              <w:rPr>
                <w:rFonts w:eastAsia="Times New Roman" w:cs="Arial"/>
                <w:sz w:val="36"/>
                <w:szCs w:val="36"/>
              </w:rPr>
            </w:pPr>
            <w:r w:rsidRPr="007D1424">
              <w:rPr>
                <w:rFonts w:eastAsia="Times New Roman" w:cs="Arial"/>
                <w:b/>
                <w:bCs/>
                <w:color w:val="000000"/>
                <w:kern w:val="24"/>
                <w:sz w:val="28"/>
                <w:szCs w:val="28"/>
              </w:rPr>
              <w:t>3.667</w:t>
            </w:r>
          </w:p>
        </w:tc>
      </w:tr>
    </w:tbl>
    <w:p w14:paraId="63275948" w14:textId="588BC9CD" w:rsidR="00AE4EDA" w:rsidRPr="00100FED" w:rsidRDefault="00AE4EDA" w:rsidP="00886389">
      <w:pPr>
        <w:tabs>
          <w:tab w:val="left" w:pos="7797"/>
        </w:tabs>
        <w:ind w:right="1693"/>
        <w:jc w:val="both"/>
        <w:rPr>
          <w:rFonts w:cs="Arial"/>
          <w:b/>
          <w:sz w:val="16"/>
          <w:szCs w:val="16"/>
          <w:lang w:val="en-AU"/>
        </w:rPr>
      </w:pPr>
    </w:p>
    <w:p w14:paraId="7798F7A5" w14:textId="4F65FE64" w:rsidR="00AE4EDA" w:rsidRPr="00B576E9" w:rsidRDefault="00AE4EDA" w:rsidP="00B576E9">
      <w:pPr>
        <w:tabs>
          <w:tab w:val="left" w:pos="7797"/>
        </w:tabs>
        <w:ind w:right="1693"/>
        <w:rPr>
          <w:rFonts w:cs="Arial"/>
          <w:b/>
          <w:szCs w:val="20"/>
          <w:lang w:val="en-AU"/>
        </w:rPr>
      </w:pPr>
    </w:p>
    <w:p w14:paraId="2180ACEF" w14:textId="77777777" w:rsidR="0034111E" w:rsidRPr="00DB6F16" w:rsidRDefault="008921F4" w:rsidP="0034111E">
      <w:pPr>
        <w:tabs>
          <w:tab w:val="left" w:pos="7797"/>
        </w:tabs>
        <w:ind w:right="1693"/>
        <w:jc w:val="both"/>
        <w:rPr>
          <w:rFonts w:cs="Arial"/>
          <w:b/>
          <w:szCs w:val="20"/>
        </w:rPr>
      </w:pPr>
      <w:r>
        <w:rPr>
          <w:rFonts w:cs="Arial"/>
          <w:b/>
          <w:szCs w:val="20"/>
        </w:rPr>
        <w:t>TGW ha assunto oltre 400 nuovi collaboratori</w:t>
      </w:r>
    </w:p>
    <w:p w14:paraId="60770B3D" w14:textId="77777777" w:rsidR="0034111E" w:rsidRDefault="0034111E" w:rsidP="0034111E">
      <w:pPr>
        <w:tabs>
          <w:tab w:val="left" w:pos="7797"/>
        </w:tabs>
        <w:ind w:right="1693"/>
        <w:jc w:val="both"/>
        <w:rPr>
          <w:rFonts w:cs="Arial"/>
          <w:szCs w:val="20"/>
        </w:rPr>
      </w:pPr>
    </w:p>
    <w:p w14:paraId="51F708C3" w14:textId="5476E43F" w:rsidR="0034111E" w:rsidRDefault="008921F4" w:rsidP="0034111E">
      <w:pPr>
        <w:tabs>
          <w:tab w:val="left" w:pos="7797"/>
        </w:tabs>
        <w:ind w:right="1693"/>
        <w:jc w:val="both"/>
        <w:rPr>
          <w:rFonts w:cs="Arial"/>
          <w:szCs w:val="20"/>
        </w:rPr>
      </w:pPr>
      <w:r>
        <w:rPr>
          <w:rFonts w:cs="Arial"/>
          <w:szCs w:val="20"/>
        </w:rPr>
        <w:t xml:space="preserve">Nell'ultimo anno di bilancio TGW è cresciuta di circa 250 collaboratori. Anche nel corrente anno finanziario l'azienda specializzata in intralogistica prosegue sulla strada della </w:t>
      </w:r>
      <w:r>
        <w:rPr>
          <w:rFonts w:cs="Arial"/>
          <w:szCs w:val="20"/>
        </w:rPr>
        <w:lastRenderedPageBreak/>
        <w:t>crescita ed è alla ricerca soprattutto di collaboratori per i settori software, comando e gestione di progetto. Harald Schröpf ribadisce:</w:t>
      </w:r>
    </w:p>
    <w:p w14:paraId="0D18065F" w14:textId="77777777" w:rsidR="009A5205" w:rsidRDefault="009A5205" w:rsidP="0034111E">
      <w:pPr>
        <w:tabs>
          <w:tab w:val="left" w:pos="7797"/>
        </w:tabs>
        <w:ind w:right="1693"/>
        <w:jc w:val="both"/>
        <w:rPr>
          <w:rFonts w:cs="Arial"/>
          <w:szCs w:val="20"/>
        </w:rPr>
      </w:pPr>
    </w:p>
    <w:p w14:paraId="6DB922B5" w14:textId="5EF73FBD" w:rsidR="009A5205" w:rsidRPr="00534318" w:rsidRDefault="009A5205" w:rsidP="002604C6">
      <w:pPr>
        <w:tabs>
          <w:tab w:val="left" w:pos="7088"/>
        </w:tabs>
        <w:ind w:left="709" w:right="2402"/>
        <w:jc w:val="both"/>
        <w:rPr>
          <w:rFonts w:cs="Arial"/>
          <w:i/>
          <w:szCs w:val="20"/>
        </w:rPr>
      </w:pPr>
      <w:r>
        <w:rPr>
          <w:rFonts w:cs="Arial"/>
          <w:i/>
          <w:szCs w:val="20"/>
        </w:rPr>
        <w:t>"Collaboratori adeguatamente formati e motivati costituiscono la base del nostro successo, proprio in un settore dinamico e fortemente innovativo come l'intralogistica. Per potere realizzare con successo la nostra strategia di crescita, pianifichiamo pertanto di accrescere il nostro organico di oltre 400 collaboratori nell'anno di bilancio in corso, superando così il numero totale di 4.000 dipendenti."</w:t>
      </w:r>
    </w:p>
    <w:p w14:paraId="53F9165E" w14:textId="77777777" w:rsidR="00182632" w:rsidRDefault="00182632" w:rsidP="00886389">
      <w:pPr>
        <w:tabs>
          <w:tab w:val="left" w:pos="7797"/>
        </w:tabs>
        <w:ind w:right="1693"/>
        <w:jc w:val="both"/>
        <w:rPr>
          <w:rFonts w:cs="Arial"/>
          <w:b/>
          <w:szCs w:val="20"/>
        </w:rPr>
      </w:pPr>
    </w:p>
    <w:p w14:paraId="3584DF42" w14:textId="013D36D2" w:rsidR="00F126D9" w:rsidRDefault="001B7B16" w:rsidP="00886389">
      <w:pPr>
        <w:tabs>
          <w:tab w:val="left" w:pos="7797"/>
        </w:tabs>
        <w:ind w:right="1693"/>
        <w:jc w:val="both"/>
        <w:rPr>
          <w:rFonts w:cs="Arial"/>
          <w:b/>
          <w:szCs w:val="20"/>
        </w:rPr>
      </w:pPr>
      <w:r>
        <w:rPr>
          <w:rFonts w:cs="Arial"/>
          <w:b/>
          <w:szCs w:val="20"/>
        </w:rPr>
        <w:t>Configurazione vantaggiosa dell'e-commerce</w:t>
      </w:r>
    </w:p>
    <w:p w14:paraId="246CD754" w14:textId="77777777" w:rsidR="00514468" w:rsidRDefault="00514468" w:rsidP="00886389">
      <w:pPr>
        <w:tabs>
          <w:tab w:val="left" w:pos="7797"/>
        </w:tabs>
        <w:ind w:right="1693"/>
        <w:jc w:val="both"/>
        <w:rPr>
          <w:rFonts w:cs="Arial"/>
          <w:szCs w:val="20"/>
        </w:rPr>
      </w:pPr>
    </w:p>
    <w:p w14:paraId="27CCA286" w14:textId="77777777" w:rsidR="005835A0" w:rsidRDefault="002E5FC4" w:rsidP="00886389">
      <w:pPr>
        <w:tabs>
          <w:tab w:val="left" w:pos="7797"/>
        </w:tabs>
        <w:ind w:right="1693"/>
        <w:jc w:val="both"/>
        <w:rPr>
          <w:rFonts w:cs="Arial"/>
          <w:szCs w:val="20"/>
        </w:rPr>
      </w:pPr>
      <w:r>
        <w:rPr>
          <w:rFonts w:cs="Arial"/>
          <w:szCs w:val="20"/>
        </w:rPr>
        <w:t xml:space="preserve">L'e-commerce presenta elevati tassi di crescita praticamente in tutti i settori, dal fashion al commercio in generale fino alla vendita online dei generi alimentari. TGW offre soluzioni su misura per questi settori e supporta i propri clienti nella configurazione vantaggiosa dell'e-commerce. </w:t>
      </w:r>
    </w:p>
    <w:p w14:paraId="5A6F461E" w14:textId="3A222979" w:rsidR="00A459AA" w:rsidRDefault="005835A0" w:rsidP="00886389">
      <w:pPr>
        <w:tabs>
          <w:tab w:val="left" w:pos="7797"/>
        </w:tabs>
        <w:ind w:right="1693"/>
        <w:jc w:val="both"/>
        <w:rPr>
          <w:rFonts w:cs="Arial"/>
          <w:szCs w:val="20"/>
        </w:rPr>
      </w:pPr>
      <w:r>
        <w:rPr>
          <w:rFonts w:cs="Arial"/>
          <w:szCs w:val="20"/>
        </w:rPr>
        <w:br/>
        <w:t>eGrocery, ovvero la vendita online di generi alimentari, fa segnare quest'anno in Germania, Francia, Gran Bretagna, Italia e USA un incremento di 350 milioni di ordini e una crescita di fatturato pari a 31 miliardi di Euro. Fino a una percentuale del 45 percento di tale incremento sarà mantenuta anche in futuro, nonostante le conseguenze del Coronavirus, sostiene l'azienda di consulenza Bain &amp; Company. Il potenziale del commercio online di generi alimentari è quindi enorme a livello mondiale.</w:t>
      </w:r>
    </w:p>
    <w:p w14:paraId="458AE325" w14:textId="15E9AAA4" w:rsidR="00A459AA" w:rsidRDefault="00A459AA" w:rsidP="00886389">
      <w:pPr>
        <w:tabs>
          <w:tab w:val="left" w:pos="7797"/>
        </w:tabs>
        <w:ind w:right="1693"/>
        <w:jc w:val="both"/>
        <w:rPr>
          <w:rFonts w:cs="Arial"/>
          <w:szCs w:val="20"/>
        </w:rPr>
      </w:pPr>
    </w:p>
    <w:p w14:paraId="404419EA" w14:textId="42EA4963" w:rsidR="001B7B16" w:rsidRPr="001B7B16" w:rsidRDefault="001B7B16" w:rsidP="00886389">
      <w:pPr>
        <w:tabs>
          <w:tab w:val="left" w:pos="7797"/>
        </w:tabs>
        <w:ind w:right="1693"/>
        <w:jc w:val="both"/>
        <w:rPr>
          <w:rFonts w:cs="Arial"/>
          <w:b/>
          <w:szCs w:val="20"/>
        </w:rPr>
      </w:pPr>
      <w:r>
        <w:rPr>
          <w:rFonts w:cs="Arial"/>
          <w:b/>
          <w:szCs w:val="20"/>
        </w:rPr>
        <w:t>Automatizzazione del commercio online di generi alimentari di Picnic grazie a TGW</w:t>
      </w:r>
    </w:p>
    <w:p w14:paraId="2EDB04F1" w14:textId="77777777" w:rsidR="001B7B16" w:rsidRDefault="001B7B16" w:rsidP="00886389">
      <w:pPr>
        <w:tabs>
          <w:tab w:val="left" w:pos="7797"/>
        </w:tabs>
        <w:ind w:right="1693"/>
        <w:jc w:val="both"/>
        <w:rPr>
          <w:rFonts w:cs="Arial"/>
          <w:szCs w:val="20"/>
        </w:rPr>
      </w:pPr>
    </w:p>
    <w:p w14:paraId="4575B56D" w14:textId="583780FF" w:rsidR="00F126D9" w:rsidRDefault="00AA3365" w:rsidP="00886389">
      <w:pPr>
        <w:tabs>
          <w:tab w:val="left" w:pos="7797"/>
        </w:tabs>
        <w:ind w:right="1693"/>
        <w:jc w:val="both"/>
        <w:rPr>
          <w:rFonts w:cs="Arial"/>
          <w:szCs w:val="20"/>
        </w:rPr>
      </w:pPr>
      <w:r>
        <w:rPr>
          <w:rFonts w:cs="Arial"/>
          <w:szCs w:val="20"/>
        </w:rPr>
        <w:t>Recentemente l'azienda olandese Picnic, che si occupa del commercio online di generi alimentari, ha realizzato a Utrecht un centro di distribuzione altamente automatizzato grazie a TGW. L'azienda fondata nel 2015 riveste un ruolo primario in questo settore. I clienti ordinano comodamente fino alle ore 22:00 tramite app e ricevono i prodotti già il giorno successivo con veicoli elettrici a zero emissioni. Con il nuovo centro di distribuzione altamente automatizzato la ditta Picnic è in grado di rifornire oltre 150.000 famiglie alla settimana e, grazie a questa soluzione tecnologicamente avanzata di TGW, pone le basi di una ulteriore crescita a livello internazionale.</w:t>
      </w:r>
    </w:p>
    <w:p w14:paraId="4FBDF741" w14:textId="77777777" w:rsidR="00E71BE3" w:rsidRDefault="00E71BE3" w:rsidP="00886389">
      <w:pPr>
        <w:tabs>
          <w:tab w:val="left" w:pos="7797"/>
        </w:tabs>
        <w:ind w:right="1693"/>
        <w:jc w:val="both"/>
        <w:rPr>
          <w:rFonts w:cs="Arial"/>
          <w:szCs w:val="20"/>
        </w:rPr>
      </w:pPr>
    </w:p>
    <w:p w14:paraId="77F28FA8" w14:textId="77777777" w:rsidR="00A459AA" w:rsidRDefault="00A459AA" w:rsidP="009A6B05">
      <w:pPr>
        <w:pStyle w:val="StandardWeb"/>
        <w:shd w:val="clear" w:color="auto" w:fill="FFFFFF"/>
        <w:spacing w:before="0" w:beforeAutospacing="0" w:after="0" w:afterAutospacing="0" w:line="360" w:lineRule="auto"/>
        <w:ind w:right="1837"/>
        <w:rPr>
          <w:rFonts w:cs="Arial"/>
          <w:i/>
          <w:sz w:val="18"/>
          <w:szCs w:val="18"/>
        </w:rPr>
      </w:pPr>
    </w:p>
    <w:p w14:paraId="16CD535A" w14:textId="64831909" w:rsidR="00514468" w:rsidRPr="007F4592" w:rsidRDefault="00DE6AF6"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443F10">
          <w:rPr>
            <w:rStyle w:val="Hyperlink"/>
            <w:rFonts w:ascii="Arial" w:hAnsi="Arial" w:cs="Arial"/>
            <w:sz w:val="20"/>
            <w:szCs w:val="20"/>
          </w:rPr>
          <w:t>www.tgw-group.com</w:t>
        </w:r>
      </w:hyperlink>
      <w:r w:rsidR="00443F10">
        <w:rPr>
          <w:rFonts w:ascii="Arial" w:hAnsi="Arial" w:cs="Arial"/>
          <w:sz w:val="20"/>
          <w:szCs w:val="20"/>
        </w:rPr>
        <w:br/>
      </w:r>
    </w:p>
    <w:p w14:paraId="21A939B9" w14:textId="77777777" w:rsidR="000F039C" w:rsidRPr="00C20490"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Pr>
          <w:rFonts w:ascii="Arial" w:hAnsi="Arial" w:cs="Arial"/>
          <w:b/>
          <w:sz w:val="20"/>
          <w:szCs w:val="20"/>
        </w:rPr>
        <w:lastRenderedPageBreak/>
        <w:t>Informazioni sul TGW Logistics Group</w:t>
      </w:r>
    </w:p>
    <w:p w14:paraId="74183709" w14:textId="77777777" w:rsidR="000F039C" w:rsidRDefault="000F039C" w:rsidP="000F039C">
      <w:pPr>
        <w:spacing w:line="240" w:lineRule="auto"/>
        <w:ind w:right="1837"/>
        <w:rPr>
          <w:rFonts w:cs="Arial"/>
          <w:szCs w:val="20"/>
        </w:rPr>
      </w:pPr>
      <w:r>
        <w:rPr>
          <w:rFonts w:cs="Arial"/>
          <w:szCs w:val="20"/>
        </w:rPr>
        <w:t xml:space="preserve">TGW Logistics Group è un'azienda fornitrice di soluzioni per l'intralogistica di primaria importanza a livello internazionale. Da 50 anni l'azienda austriaca specializzata in impianti ad alta automazione realizza soluzioni per i propri clienti in tutto il mondo, dalla A come Adidas alla Z come Zalando. In qualità di integratore di sistema, TGW si occupa della progettazione, produzione, realizzazione e servizio di complessi centri di logistica, dalla meccatronica alla robotica fino al sistema di comando e al software. </w:t>
      </w:r>
    </w:p>
    <w:p w14:paraId="60044363" w14:textId="77777777" w:rsidR="000F039C" w:rsidRDefault="000F039C" w:rsidP="000F039C">
      <w:pPr>
        <w:tabs>
          <w:tab w:val="left" w:pos="1697"/>
        </w:tabs>
        <w:spacing w:line="240" w:lineRule="auto"/>
        <w:ind w:right="1837"/>
        <w:rPr>
          <w:rFonts w:cs="Arial"/>
          <w:szCs w:val="20"/>
        </w:rPr>
      </w:pPr>
    </w:p>
    <w:p w14:paraId="1E9A1531" w14:textId="77777777" w:rsidR="000F039C" w:rsidRDefault="000F039C" w:rsidP="000F039C">
      <w:pPr>
        <w:spacing w:line="240" w:lineRule="auto"/>
        <w:ind w:right="1837"/>
        <w:rPr>
          <w:rFonts w:cs="Arial"/>
          <w:szCs w:val="20"/>
        </w:rPr>
      </w:pPr>
      <w:r>
        <w:rPr>
          <w:rFonts w:cs="Arial"/>
          <w:szCs w:val="20"/>
        </w:rPr>
        <w:t>Il gruppo TGW Logistics Group ha filiali in Europa, Cina e USA e può contare su oltre 3.700 collaboratori in tutto il mondo. Nell'esercizio fiscale 2019/20 l'azienda ha ottenuto un fatturato complessivo di 835,8 milioni di Euro.</w:t>
      </w:r>
    </w:p>
    <w:p w14:paraId="182BC5AE" w14:textId="77777777" w:rsidR="000F039C" w:rsidRDefault="000F039C" w:rsidP="000F039C">
      <w:pPr>
        <w:spacing w:line="240" w:lineRule="auto"/>
        <w:ind w:right="1837"/>
        <w:rPr>
          <w:rFonts w:cs="Arial"/>
          <w:szCs w:val="20"/>
        </w:rPr>
      </w:pPr>
    </w:p>
    <w:p w14:paraId="624B659F" w14:textId="77777777" w:rsidR="000F039C" w:rsidRDefault="000F039C" w:rsidP="000F039C">
      <w:pPr>
        <w:spacing w:line="240" w:lineRule="auto"/>
        <w:ind w:right="1837"/>
        <w:rPr>
          <w:rFonts w:cs="Arial"/>
          <w:szCs w:val="20"/>
        </w:rPr>
      </w:pPr>
    </w:p>
    <w:p w14:paraId="0186748F" w14:textId="77777777" w:rsidR="000F039C" w:rsidRDefault="000F039C" w:rsidP="000F039C">
      <w:pPr>
        <w:spacing w:line="240" w:lineRule="auto"/>
        <w:ind w:right="1837"/>
        <w:rPr>
          <w:rFonts w:cs="Arial"/>
          <w:szCs w:val="20"/>
        </w:rPr>
      </w:pPr>
    </w:p>
    <w:p w14:paraId="1E3245BA" w14:textId="77777777" w:rsidR="000F039C" w:rsidRDefault="000F039C" w:rsidP="000F039C">
      <w:pPr>
        <w:spacing w:line="240" w:lineRule="auto"/>
        <w:ind w:right="1837"/>
        <w:rPr>
          <w:rFonts w:cs="Arial"/>
          <w:szCs w:val="20"/>
        </w:rPr>
      </w:pPr>
    </w:p>
    <w:p w14:paraId="09A9B7C2" w14:textId="77777777" w:rsidR="000F039C" w:rsidRDefault="000F039C" w:rsidP="000F039C">
      <w:pPr>
        <w:spacing w:line="240" w:lineRule="auto"/>
        <w:ind w:right="1837"/>
        <w:rPr>
          <w:rFonts w:cs="Arial"/>
          <w:b/>
          <w:szCs w:val="20"/>
        </w:rPr>
      </w:pPr>
      <w:r>
        <w:rPr>
          <w:rFonts w:cs="Arial"/>
          <w:b/>
          <w:szCs w:val="20"/>
        </w:rPr>
        <w:t>Fotografie</w:t>
      </w:r>
    </w:p>
    <w:p w14:paraId="4EFB3B85" w14:textId="77777777" w:rsidR="000F039C" w:rsidRDefault="000F039C" w:rsidP="000F039C">
      <w:pPr>
        <w:spacing w:line="240" w:lineRule="auto"/>
        <w:ind w:right="1837"/>
        <w:rPr>
          <w:rFonts w:cs="Arial"/>
          <w:szCs w:val="20"/>
        </w:rPr>
      </w:pPr>
      <w:r>
        <w:rPr>
          <w:rFonts w:cs="Arial"/>
          <w:szCs w:val="20"/>
        </w:rPr>
        <w:t>È permessa la pubblicazione gratuita fornendo l'indicazione della fonte e per i comunicati stampa che hanno come oggetto principalmente il TGW Logistics Group GmbH.  La pubblicazione a scopi pubblicitari non è gratuita.</w:t>
      </w:r>
    </w:p>
    <w:p w14:paraId="17273BB1" w14:textId="77777777" w:rsidR="000F039C" w:rsidRDefault="000F039C" w:rsidP="000F039C">
      <w:pPr>
        <w:spacing w:line="240" w:lineRule="auto"/>
        <w:ind w:right="1837"/>
        <w:rPr>
          <w:rFonts w:cs="Arial"/>
          <w:szCs w:val="20"/>
        </w:rPr>
      </w:pPr>
    </w:p>
    <w:p w14:paraId="5729B357" w14:textId="77777777" w:rsidR="000F039C" w:rsidRDefault="000F039C" w:rsidP="000F039C">
      <w:pPr>
        <w:spacing w:line="240" w:lineRule="auto"/>
        <w:ind w:right="1837"/>
        <w:rPr>
          <w:rFonts w:cs="Arial"/>
          <w:szCs w:val="20"/>
        </w:rPr>
      </w:pPr>
    </w:p>
    <w:p w14:paraId="75D1F9BA" w14:textId="77777777" w:rsidR="000F039C" w:rsidRDefault="000F039C" w:rsidP="000F039C">
      <w:pPr>
        <w:spacing w:line="240" w:lineRule="auto"/>
        <w:ind w:right="1837"/>
        <w:rPr>
          <w:rFonts w:cs="Arial"/>
          <w:b/>
          <w:szCs w:val="20"/>
        </w:rPr>
      </w:pPr>
      <w:r>
        <w:rPr>
          <w:rFonts w:cs="Arial"/>
          <w:b/>
          <w:szCs w:val="20"/>
        </w:rPr>
        <w:t>Contatto:</w:t>
      </w:r>
    </w:p>
    <w:p w14:paraId="13664EB5" w14:textId="77777777" w:rsidR="000F039C" w:rsidRDefault="000F039C" w:rsidP="000F039C">
      <w:pPr>
        <w:spacing w:line="240" w:lineRule="auto"/>
        <w:ind w:right="1837"/>
        <w:rPr>
          <w:rFonts w:cs="Arial"/>
          <w:szCs w:val="20"/>
        </w:rPr>
      </w:pPr>
      <w:r>
        <w:rPr>
          <w:rFonts w:cs="Arial"/>
          <w:szCs w:val="20"/>
        </w:rPr>
        <w:t>TGW Logistics Group GmbH</w:t>
      </w:r>
    </w:p>
    <w:p w14:paraId="56E62C3A"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573B88EE" w14:textId="77777777" w:rsidR="000F039C" w:rsidRDefault="000F039C" w:rsidP="000F039C">
      <w:pPr>
        <w:spacing w:line="240" w:lineRule="auto"/>
        <w:ind w:right="1837"/>
        <w:rPr>
          <w:rFonts w:cs="Arial"/>
          <w:szCs w:val="20"/>
        </w:rPr>
      </w:pPr>
      <w:r>
        <w:rPr>
          <w:rFonts w:cs="Arial"/>
          <w:szCs w:val="20"/>
        </w:rPr>
        <w:t>Tel: +43.(0)50.486-0</w:t>
      </w:r>
    </w:p>
    <w:p w14:paraId="220106D4" w14:textId="77777777" w:rsidR="000F039C" w:rsidRDefault="000F039C" w:rsidP="000F039C">
      <w:pPr>
        <w:spacing w:line="240" w:lineRule="auto"/>
        <w:ind w:right="1837"/>
        <w:rPr>
          <w:rFonts w:cs="Arial"/>
          <w:szCs w:val="20"/>
        </w:rPr>
      </w:pPr>
      <w:r>
        <w:rPr>
          <w:rFonts w:cs="Arial"/>
          <w:szCs w:val="20"/>
        </w:rPr>
        <w:t>Fax: +43.(0)50.486-31</w:t>
      </w:r>
    </w:p>
    <w:p w14:paraId="1C6FA9DE" w14:textId="77777777" w:rsidR="000F039C" w:rsidRDefault="000F039C" w:rsidP="000F039C">
      <w:pPr>
        <w:spacing w:line="240" w:lineRule="auto"/>
        <w:ind w:right="1837"/>
        <w:rPr>
          <w:rFonts w:cs="Arial"/>
          <w:szCs w:val="20"/>
        </w:rPr>
      </w:pPr>
      <w:r>
        <w:rPr>
          <w:rFonts w:cs="Arial"/>
          <w:szCs w:val="20"/>
        </w:rPr>
        <w:t>E-mail: tgw@tgw-group.com</w:t>
      </w:r>
    </w:p>
    <w:p w14:paraId="02D45BA1" w14:textId="77777777" w:rsidR="000F039C" w:rsidRDefault="000F039C" w:rsidP="000F039C">
      <w:pPr>
        <w:spacing w:line="240" w:lineRule="auto"/>
        <w:ind w:right="1837"/>
        <w:rPr>
          <w:rFonts w:cs="Arial"/>
          <w:szCs w:val="20"/>
        </w:rPr>
      </w:pPr>
    </w:p>
    <w:p w14:paraId="27CBE8E3" w14:textId="77777777" w:rsidR="000F039C" w:rsidRDefault="000F039C" w:rsidP="000F039C">
      <w:pPr>
        <w:spacing w:line="240" w:lineRule="auto"/>
        <w:ind w:right="1837"/>
        <w:rPr>
          <w:rFonts w:cs="Arial"/>
          <w:szCs w:val="20"/>
        </w:rPr>
      </w:pPr>
    </w:p>
    <w:p w14:paraId="54B20530" w14:textId="77777777" w:rsidR="000F039C" w:rsidRDefault="000F039C" w:rsidP="000F039C">
      <w:pPr>
        <w:spacing w:line="240" w:lineRule="auto"/>
        <w:ind w:right="1837"/>
        <w:rPr>
          <w:rFonts w:cs="Arial"/>
          <w:szCs w:val="20"/>
        </w:rPr>
      </w:pPr>
    </w:p>
    <w:p w14:paraId="4C7DE02C" w14:textId="77777777" w:rsidR="000F039C" w:rsidRDefault="000F039C" w:rsidP="000F039C">
      <w:pPr>
        <w:spacing w:line="240" w:lineRule="auto"/>
        <w:ind w:right="1837"/>
        <w:rPr>
          <w:rFonts w:cs="Arial"/>
          <w:szCs w:val="20"/>
        </w:rPr>
      </w:pPr>
    </w:p>
    <w:p w14:paraId="140DDABE" w14:textId="77777777" w:rsidR="000F039C" w:rsidRDefault="000F039C" w:rsidP="000F039C">
      <w:pPr>
        <w:spacing w:line="240" w:lineRule="auto"/>
        <w:ind w:right="701"/>
        <w:rPr>
          <w:rFonts w:cs="Arial"/>
          <w:b/>
          <w:szCs w:val="20"/>
        </w:rPr>
      </w:pPr>
      <w:r>
        <w:rPr>
          <w:rFonts w:cs="Arial"/>
          <w:b/>
          <w:szCs w:val="20"/>
        </w:rPr>
        <w:t>Contatto stampa:</w:t>
      </w:r>
    </w:p>
    <w:p w14:paraId="064F9412" w14:textId="618FB3E7" w:rsidR="00496FFC" w:rsidRPr="004642BC" w:rsidRDefault="00496FFC" w:rsidP="000F039C">
      <w:pPr>
        <w:spacing w:line="240" w:lineRule="auto"/>
        <w:ind w:right="701"/>
        <w:rPr>
          <w:rFonts w:cs="Arial"/>
          <w:b/>
          <w:szCs w:val="20"/>
          <w:lang w:val="en-AU"/>
        </w:rPr>
      </w:pPr>
    </w:p>
    <w:p w14:paraId="35F01D47" w14:textId="77777777" w:rsidR="00496FFC" w:rsidRDefault="00496FFC" w:rsidP="00496FFC">
      <w:pPr>
        <w:spacing w:line="240" w:lineRule="auto"/>
        <w:ind w:right="701"/>
        <w:rPr>
          <w:rFonts w:cs="Arial"/>
          <w:szCs w:val="20"/>
          <w:lang w:val="en-US"/>
        </w:rPr>
      </w:pPr>
      <w:r>
        <w:rPr>
          <w:rFonts w:cs="Arial"/>
          <w:szCs w:val="20"/>
        </w:rPr>
        <w:t>Alexander Tahedl</w:t>
      </w:r>
    </w:p>
    <w:p w14:paraId="57A0031C" w14:textId="77777777" w:rsidR="00496FFC" w:rsidRDefault="00496FFC" w:rsidP="00496FFC">
      <w:pPr>
        <w:spacing w:line="240" w:lineRule="auto"/>
        <w:ind w:right="701"/>
        <w:rPr>
          <w:rFonts w:cs="Arial"/>
          <w:szCs w:val="20"/>
          <w:lang w:val="en-US"/>
        </w:rPr>
      </w:pPr>
      <w:r>
        <w:rPr>
          <w:rFonts w:cs="Arial"/>
          <w:szCs w:val="20"/>
        </w:rPr>
        <w:t>Communications Specialist</w:t>
      </w:r>
    </w:p>
    <w:p w14:paraId="30A42C9A" w14:textId="77777777" w:rsidR="00496FFC" w:rsidRPr="009A6B05" w:rsidRDefault="00496FFC" w:rsidP="00496FFC">
      <w:pPr>
        <w:spacing w:line="240" w:lineRule="auto"/>
        <w:ind w:right="701"/>
        <w:rPr>
          <w:rFonts w:cs="Arial"/>
          <w:szCs w:val="20"/>
          <w:lang w:val="en-US"/>
        </w:rPr>
      </w:pPr>
      <w:r>
        <w:rPr>
          <w:rFonts w:cs="Arial"/>
          <w:szCs w:val="20"/>
        </w:rPr>
        <w:t>Tel: +43.(0)50.486-2267</w:t>
      </w:r>
    </w:p>
    <w:p w14:paraId="254FEB36" w14:textId="77777777" w:rsidR="00496FFC" w:rsidRDefault="00496FFC" w:rsidP="00496FFC">
      <w:pPr>
        <w:spacing w:line="240" w:lineRule="auto"/>
        <w:ind w:right="701"/>
        <w:rPr>
          <w:rFonts w:cs="Arial"/>
          <w:szCs w:val="20"/>
          <w:lang w:val="en-US"/>
        </w:rPr>
      </w:pPr>
      <w:r>
        <w:rPr>
          <w:rFonts w:cs="Arial"/>
          <w:szCs w:val="20"/>
        </w:rPr>
        <w:t>Cell.: +43.(0)664.88459713</w:t>
      </w:r>
    </w:p>
    <w:p w14:paraId="05FF333D" w14:textId="77777777" w:rsidR="00496FFC" w:rsidRPr="00E76A4D" w:rsidRDefault="00496FFC" w:rsidP="00496FFC">
      <w:pPr>
        <w:spacing w:line="240" w:lineRule="auto"/>
        <w:ind w:right="701"/>
        <w:rPr>
          <w:lang w:val="en-AU"/>
        </w:rPr>
      </w:pPr>
      <w:r>
        <w:rPr>
          <w:rFonts w:cs="Arial"/>
          <w:szCs w:val="20"/>
        </w:rPr>
        <w:t>alexander.tahedl@tgw-group.com</w:t>
      </w:r>
    </w:p>
    <w:p w14:paraId="2A5D5C9D" w14:textId="77777777" w:rsidR="00496FFC" w:rsidRPr="00E76A4D" w:rsidRDefault="00496FFC" w:rsidP="000F039C">
      <w:pPr>
        <w:spacing w:line="240" w:lineRule="auto"/>
        <w:ind w:right="701"/>
        <w:rPr>
          <w:rFonts w:cs="Arial"/>
          <w:b/>
          <w:szCs w:val="20"/>
          <w:lang w:val="en-AU"/>
        </w:rPr>
      </w:pPr>
    </w:p>
    <w:p w14:paraId="5AB6C861" w14:textId="77777777" w:rsidR="00496FFC" w:rsidRPr="00E76A4D" w:rsidRDefault="00496FFC" w:rsidP="000F039C">
      <w:pPr>
        <w:spacing w:line="240" w:lineRule="auto"/>
        <w:ind w:right="701"/>
        <w:rPr>
          <w:rFonts w:cs="Arial"/>
          <w:b/>
          <w:szCs w:val="20"/>
          <w:lang w:val="en-AU"/>
        </w:rPr>
      </w:pPr>
    </w:p>
    <w:p w14:paraId="313206CF"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673BF74F"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028B6FD0" w14:textId="77777777" w:rsidR="000F039C" w:rsidRDefault="000F039C" w:rsidP="000F039C">
      <w:pPr>
        <w:spacing w:line="240" w:lineRule="auto"/>
        <w:ind w:right="701"/>
        <w:rPr>
          <w:rFonts w:cs="Arial"/>
          <w:szCs w:val="20"/>
          <w:lang w:val="en-US"/>
        </w:rPr>
      </w:pPr>
      <w:r>
        <w:rPr>
          <w:rFonts w:cs="Arial"/>
          <w:szCs w:val="20"/>
        </w:rPr>
        <w:t>Tel: +43.(0)50.486-1382</w:t>
      </w:r>
    </w:p>
    <w:p w14:paraId="3A4D376F" w14:textId="77777777" w:rsidR="000F039C" w:rsidRDefault="00085DE5" w:rsidP="000F039C">
      <w:pPr>
        <w:tabs>
          <w:tab w:val="left" w:pos="3432"/>
        </w:tabs>
        <w:spacing w:line="240" w:lineRule="auto"/>
        <w:ind w:right="701"/>
        <w:rPr>
          <w:rFonts w:cs="Arial"/>
          <w:szCs w:val="20"/>
          <w:lang w:val="en-US"/>
        </w:rPr>
      </w:pPr>
      <w:r>
        <w:rPr>
          <w:rFonts w:cs="Arial"/>
          <w:szCs w:val="20"/>
        </w:rPr>
        <w:t>Cell.: +43.(0)664.8187423</w:t>
      </w:r>
    </w:p>
    <w:p w14:paraId="3F5471FF" w14:textId="77777777" w:rsidR="00496FFC" w:rsidRPr="007737E4" w:rsidRDefault="00085DE5">
      <w:pPr>
        <w:spacing w:line="240" w:lineRule="auto"/>
        <w:ind w:right="701"/>
        <w:rPr>
          <w:rFonts w:cs="Arial"/>
          <w:szCs w:val="20"/>
          <w:lang w:val="en-US"/>
        </w:rPr>
      </w:pPr>
      <w:r>
        <w:rPr>
          <w:rFonts w:cs="Arial"/>
          <w:szCs w:val="20"/>
        </w:rPr>
        <w:t>martin.kirchmayr@tgw-group.com</w:t>
      </w:r>
    </w:p>
    <w:p w14:paraId="25A617DC"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6E78A" w14:textId="77777777" w:rsidR="00DE6AF6" w:rsidRDefault="00DE6AF6" w:rsidP="00764006">
      <w:pPr>
        <w:spacing w:line="240" w:lineRule="auto"/>
      </w:pPr>
      <w:r>
        <w:separator/>
      </w:r>
    </w:p>
  </w:endnote>
  <w:endnote w:type="continuationSeparator" w:id="0">
    <w:p w14:paraId="0DA37ABB" w14:textId="77777777" w:rsidR="00DE6AF6" w:rsidRDefault="00DE6AF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73AD425E" w14:textId="77777777" w:rsidTr="00C15D91">
      <w:tc>
        <w:tcPr>
          <w:tcW w:w="6474" w:type="dxa"/>
        </w:tcPr>
        <w:p w14:paraId="756515AC"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1FD666A" w14:textId="77777777" w:rsidR="00A459AA" w:rsidRPr="00252CD7" w:rsidRDefault="00A459AA" w:rsidP="007D0E42">
          <w:pPr>
            <w:pStyle w:val="Fuzeile"/>
            <w:rPr>
              <w:sz w:val="16"/>
            </w:rPr>
          </w:pPr>
        </w:p>
      </w:tc>
      <w:tc>
        <w:tcPr>
          <w:tcW w:w="283" w:type="dxa"/>
          <w:tcBorders>
            <w:left w:val="single" w:sz="12" w:space="0" w:color="C00418" w:themeColor="accent1"/>
          </w:tcBorders>
        </w:tcPr>
        <w:p w14:paraId="314EBEF5" w14:textId="77777777" w:rsidR="00A459AA" w:rsidRPr="00252CD7" w:rsidRDefault="00A459AA" w:rsidP="007D0E42">
          <w:pPr>
            <w:pStyle w:val="Fuzeile"/>
            <w:rPr>
              <w:sz w:val="16"/>
            </w:rPr>
          </w:pPr>
        </w:p>
      </w:tc>
      <w:tc>
        <w:tcPr>
          <w:tcW w:w="2438" w:type="dxa"/>
          <w:vAlign w:val="center"/>
        </w:tcPr>
        <w:p w14:paraId="35009DAA" w14:textId="75130362"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1D184E">
            <w:rPr>
              <w:noProof/>
              <w:sz w:val="16"/>
            </w:rPr>
            <w:t>3</w:t>
          </w:r>
          <w:r>
            <w:fldChar w:fldCharType="end"/>
          </w:r>
          <w:r>
            <w:rPr>
              <w:sz w:val="16"/>
            </w:rPr>
            <w:t xml:space="preserve"> / 4</w:t>
          </w:r>
        </w:p>
      </w:tc>
    </w:tr>
  </w:tbl>
  <w:p w14:paraId="58D81884"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D0FE5" w14:textId="77777777" w:rsidR="00DE6AF6" w:rsidRDefault="00DE6AF6" w:rsidP="00764006">
      <w:pPr>
        <w:spacing w:line="240" w:lineRule="auto"/>
      </w:pPr>
      <w:r>
        <w:separator/>
      </w:r>
    </w:p>
  </w:footnote>
  <w:footnote w:type="continuationSeparator" w:id="0">
    <w:p w14:paraId="2A1A59EA" w14:textId="77777777" w:rsidR="00DE6AF6" w:rsidRDefault="00DE6AF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2472" w14:textId="77777777" w:rsidR="00A459AA" w:rsidRDefault="00A459AA" w:rsidP="00764006">
    <w:pPr>
      <w:pStyle w:val="Kopfzeile"/>
      <w:jc w:val="right"/>
    </w:pPr>
    <w:r>
      <w:br/>
    </w:r>
  </w:p>
  <w:p w14:paraId="0EE9E6A2" w14:textId="77777777" w:rsidR="00A459AA" w:rsidRPr="00C15D91" w:rsidRDefault="00A459AA" w:rsidP="00C00CC7">
    <w:pPr>
      <w:pStyle w:val="Dokumententitel"/>
    </w:pPr>
    <w:r>
      <w:drawing>
        <wp:anchor distT="0" distB="0" distL="114300" distR="114300" simplePos="0" relativeHeight="251658240" behindDoc="0" locked="0" layoutInCell="1" allowOverlap="1" wp14:anchorId="78D8039B" wp14:editId="120F512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1"/>
  </w:num>
  <w:num w:numId="5">
    <w:abstractNumId w:val="11"/>
  </w:num>
  <w:num w:numId="6">
    <w:abstractNumId w:val="3"/>
  </w:num>
  <w:num w:numId="7">
    <w:abstractNumId w:val="13"/>
  </w:num>
  <w:num w:numId="8">
    <w:abstractNumId w:val="10"/>
  </w:num>
  <w:num w:numId="9">
    <w:abstractNumId w:val="18"/>
  </w:num>
  <w:num w:numId="10">
    <w:abstractNumId w:val="1"/>
  </w:num>
  <w:num w:numId="11">
    <w:abstractNumId w:val="6"/>
  </w:num>
  <w:num w:numId="12">
    <w:abstractNumId w:val="15"/>
  </w:num>
  <w:num w:numId="13">
    <w:abstractNumId w:val="16"/>
  </w:num>
  <w:num w:numId="14">
    <w:abstractNumId w:val="20"/>
  </w:num>
  <w:num w:numId="15">
    <w:abstractNumId w:val="22"/>
  </w:num>
  <w:num w:numId="16">
    <w:abstractNumId w:val="4"/>
  </w:num>
  <w:num w:numId="17">
    <w:abstractNumId w:val="19"/>
  </w:num>
  <w:num w:numId="18">
    <w:abstractNumId w:val="5"/>
  </w:num>
  <w:num w:numId="19">
    <w:abstractNumId w:val="7"/>
  </w:num>
  <w:num w:numId="20">
    <w:abstractNumId w:val="9"/>
  </w:num>
  <w:num w:numId="21">
    <w:abstractNumId w:val="0"/>
  </w:num>
  <w:num w:numId="22">
    <w:abstractNumId w:val="8"/>
  </w:num>
  <w:num w:numId="23">
    <w:abstractNumId w:val="17"/>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8BC"/>
    <w:rsid w:val="000048E9"/>
    <w:rsid w:val="00004D39"/>
    <w:rsid w:val="00004F6A"/>
    <w:rsid w:val="000067D6"/>
    <w:rsid w:val="00007176"/>
    <w:rsid w:val="00007CF1"/>
    <w:rsid w:val="00013BF0"/>
    <w:rsid w:val="00014D5D"/>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40E1"/>
    <w:rsid w:val="00081FA6"/>
    <w:rsid w:val="0008298D"/>
    <w:rsid w:val="00082FB9"/>
    <w:rsid w:val="0008328C"/>
    <w:rsid w:val="000838C9"/>
    <w:rsid w:val="00084DC2"/>
    <w:rsid w:val="00085DE5"/>
    <w:rsid w:val="00087586"/>
    <w:rsid w:val="000876EB"/>
    <w:rsid w:val="000901FB"/>
    <w:rsid w:val="000906C3"/>
    <w:rsid w:val="000908C6"/>
    <w:rsid w:val="00090C63"/>
    <w:rsid w:val="00090D40"/>
    <w:rsid w:val="00092163"/>
    <w:rsid w:val="00092A28"/>
    <w:rsid w:val="00093075"/>
    <w:rsid w:val="00093858"/>
    <w:rsid w:val="00094055"/>
    <w:rsid w:val="0009479C"/>
    <w:rsid w:val="00094DFA"/>
    <w:rsid w:val="00095CBA"/>
    <w:rsid w:val="000973B3"/>
    <w:rsid w:val="00097487"/>
    <w:rsid w:val="00097DE7"/>
    <w:rsid w:val="000A0FE1"/>
    <w:rsid w:val="000A1294"/>
    <w:rsid w:val="000A2827"/>
    <w:rsid w:val="000A3032"/>
    <w:rsid w:val="000A37FC"/>
    <w:rsid w:val="000A3C02"/>
    <w:rsid w:val="000A490F"/>
    <w:rsid w:val="000A4931"/>
    <w:rsid w:val="000A51B5"/>
    <w:rsid w:val="000A5860"/>
    <w:rsid w:val="000A67DD"/>
    <w:rsid w:val="000A6DCC"/>
    <w:rsid w:val="000A721F"/>
    <w:rsid w:val="000A7433"/>
    <w:rsid w:val="000B3A42"/>
    <w:rsid w:val="000B3BB3"/>
    <w:rsid w:val="000B58AB"/>
    <w:rsid w:val="000B6520"/>
    <w:rsid w:val="000B6706"/>
    <w:rsid w:val="000B6892"/>
    <w:rsid w:val="000B697D"/>
    <w:rsid w:val="000B6D90"/>
    <w:rsid w:val="000B72D6"/>
    <w:rsid w:val="000B7F5B"/>
    <w:rsid w:val="000C043F"/>
    <w:rsid w:val="000C48AB"/>
    <w:rsid w:val="000D04E9"/>
    <w:rsid w:val="000D055C"/>
    <w:rsid w:val="000D0B64"/>
    <w:rsid w:val="000D0FFE"/>
    <w:rsid w:val="000D3D7D"/>
    <w:rsid w:val="000D445F"/>
    <w:rsid w:val="000D5038"/>
    <w:rsid w:val="000D5631"/>
    <w:rsid w:val="000D570F"/>
    <w:rsid w:val="000D5CF0"/>
    <w:rsid w:val="000D7892"/>
    <w:rsid w:val="000D79F0"/>
    <w:rsid w:val="000E1710"/>
    <w:rsid w:val="000E2B57"/>
    <w:rsid w:val="000E5B4A"/>
    <w:rsid w:val="000E6579"/>
    <w:rsid w:val="000E721B"/>
    <w:rsid w:val="000E742E"/>
    <w:rsid w:val="000E779D"/>
    <w:rsid w:val="000F039C"/>
    <w:rsid w:val="000F2136"/>
    <w:rsid w:val="000F6568"/>
    <w:rsid w:val="000F6786"/>
    <w:rsid w:val="000F7D85"/>
    <w:rsid w:val="00100CDF"/>
    <w:rsid w:val="00100FED"/>
    <w:rsid w:val="00102B91"/>
    <w:rsid w:val="00102B94"/>
    <w:rsid w:val="00102C0C"/>
    <w:rsid w:val="00102F3E"/>
    <w:rsid w:val="00106124"/>
    <w:rsid w:val="00106470"/>
    <w:rsid w:val="001109BF"/>
    <w:rsid w:val="00110A0B"/>
    <w:rsid w:val="00113562"/>
    <w:rsid w:val="00114C33"/>
    <w:rsid w:val="00117307"/>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5EB3"/>
    <w:rsid w:val="00150056"/>
    <w:rsid w:val="00151856"/>
    <w:rsid w:val="00151881"/>
    <w:rsid w:val="001522B5"/>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6ED9"/>
    <w:rsid w:val="0017018E"/>
    <w:rsid w:val="00170544"/>
    <w:rsid w:val="00170E83"/>
    <w:rsid w:val="00172BC3"/>
    <w:rsid w:val="00172F83"/>
    <w:rsid w:val="00172FF1"/>
    <w:rsid w:val="00174445"/>
    <w:rsid w:val="00174858"/>
    <w:rsid w:val="00174FA7"/>
    <w:rsid w:val="00177186"/>
    <w:rsid w:val="00177950"/>
    <w:rsid w:val="00177E66"/>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A0355"/>
    <w:rsid w:val="001A0755"/>
    <w:rsid w:val="001A08BF"/>
    <w:rsid w:val="001A143C"/>
    <w:rsid w:val="001A2A7D"/>
    <w:rsid w:val="001A36B2"/>
    <w:rsid w:val="001A3CC9"/>
    <w:rsid w:val="001A4177"/>
    <w:rsid w:val="001A639D"/>
    <w:rsid w:val="001B0377"/>
    <w:rsid w:val="001B1C61"/>
    <w:rsid w:val="001B2714"/>
    <w:rsid w:val="001B32D8"/>
    <w:rsid w:val="001B331B"/>
    <w:rsid w:val="001B3B4C"/>
    <w:rsid w:val="001B5466"/>
    <w:rsid w:val="001B6421"/>
    <w:rsid w:val="001B7711"/>
    <w:rsid w:val="001B7B16"/>
    <w:rsid w:val="001C0661"/>
    <w:rsid w:val="001C1504"/>
    <w:rsid w:val="001C1F1C"/>
    <w:rsid w:val="001C203E"/>
    <w:rsid w:val="001C33E5"/>
    <w:rsid w:val="001C4484"/>
    <w:rsid w:val="001C5EC6"/>
    <w:rsid w:val="001C6FC4"/>
    <w:rsid w:val="001C75F5"/>
    <w:rsid w:val="001C7C14"/>
    <w:rsid w:val="001D184E"/>
    <w:rsid w:val="001D1972"/>
    <w:rsid w:val="001D1A27"/>
    <w:rsid w:val="001D22C8"/>
    <w:rsid w:val="001D2879"/>
    <w:rsid w:val="001D2A06"/>
    <w:rsid w:val="001D38DF"/>
    <w:rsid w:val="001D3B2A"/>
    <w:rsid w:val="001D3BE6"/>
    <w:rsid w:val="001D3C10"/>
    <w:rsid w:val="001D6C93"/>
    <w:rsid w:val="001D6FB0"/>
    <w:rsid w:val="001E064D"/>
    <w:rsid w:val="001E12D3"/>
    <w:rsid w:val="001E2DC7"/>
    <w:rsid w:val="001E3060"/>
    <w:rsid w:val="001E3416"/>
    <w:rsid w:val="001E4E67"/>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3187"/>
    <w:rsid w:val="002140EF"/>
    <w:rsid w:val="00214B64"/>
    <w:rsid w:val="00214E93"/>
    <w:rsid w:val="00216276"/>
    <w:rsid w:val="0021629F"/>
    <w:rsid w:val="002170BE"/>
    <w:rsid w:val="002178D9"/>
    <w:rsid w:val="00220F1F"/>
    <w:rsid w:val="00221837"/>
    <w:rsid w:val="00222B47"/>
    <w:rsid w:val="00227C5F"/>
    <w:rsid w:val="00227EC1"/>
    <w:rsid w:val="0023021C"/>
    <w:rsid w:val="00230C81"/>
    <w:rsid w:val="002316D5"/>
    <w:rsid w:val="00231C7F"/>
    <w:rsid w:val="00232132"/>
    <w:rsid w:val="0023298C"/>
    <w:rsid w:val="002335CF"/>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24A9"/>
    <w:rsid w:val="002A24DB"/>
    <w:rsid w:val="002A47F3"/>
    <w:rsid w:val="002A50BC"/>
    <w:rsid w:val="002A540B"/>
    <w:rsid w:val="002A5A42"/>
    <w:rsid w:val="002A62CC"/>
    <w:rsid w:val="002A6820"/>
    <w:rsid w:val="002A6CF7"/>
    <w:rsid w:val="002A6D6B"/>
    <w:rsid w:val="002B0533"/>
    <w:rsid w:val="002B13F8"/>
    <w:rsid w:val="002B27F9"/>
    <w:rsid w:val="002B3503"/>
    <w:rsid w:val="002B4568"/>
    <w:rsid w:val="002B4848"/>
    <w:rsid w:val="002B52CA"/>
    <w:rsid w:val="002B56A8"/>
    <w:rsid w:val="002B5E97"/>
    <w:rsid w:val="002B6964"/>
    <w:rsid w:val="002B6B85"/>
    <w:rsid w:val="002B7358"/>
    <w:rsid w:val="002C40FD"/>
    <w:rsid w:val="002C4808"/>
    <w:rsid w:val="002C49C4"/>
    <w:rsid w:val="002C501B"/>
    <w:rsid w:val="002C5187"/>
    <w:rsid w:val="002C5AFD"/>
    <w:rsid w:val="002C5D6C"/>
    <w:rsid w:val="002C624B"/>
    <w:rsid w:val="002C7175"/>
    <w:rsid w:val="002C7C65"/>
    <w:rsid w:val="002C7FAF"/>
    <w:rsid w:val="002D1802"/>
    <w:rsid w:val="002D1ED8"/>
    <w:rsid w:val="002D3F73"/>
    <w:rsid w:val="002D4595"/>
    <w:rsid w:val="002D48DC"/>
    <w:rsid w:val="002D5963"/>
    <w:rsid w:val="002D63EE"/>
    <w:rsid w:val="002D64D5"/>
    <w:rsid w:val="002D6A5C"/>
    <w:rsid w:val="002E11B2"/>
    <w:rsid w:val="002E1F59"/>
    <w:rsid w:val="002E312E"/>
    <w:rsid w:val="002E3C38"/>
    <w:rsid w:val="002E4E51"/>
    <w:rsid w:val="002E59F5"/>
    <w:rsid w:val="002E5FC4"/>
    <w:rsid w:val="002E71B6"/>
    <w:rsid w:val="002F059B"/>
    <w:rsid w:val="002F0A80"/>
    <w:rsid w:val="002F390A"/>
    <w:rsid w:val="002F3C41"/>
    <w:rsid w:val="002F4C86"/>
    <w:rsid w:val="002F4FEE"/>
    <w:rsid w:val="002F748C"/>
    <w:rsid w:val="002F7C97"/>
    <w:rsid w:val="003014F9"/>
    <w:rsid w:val="0030159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405B"/>
    <w:rsid w:val="00324AF6"/>
    <w:rsid w:val="00325194"/>
    <w:rsid w:val="003260FC"/>
    <w:rsid w:val="00330273"/>
    <w:rsid w:val="00331CE5"/>
    <w:rsid w:val="00331DF2"/>
    <w:rsid w:val="0033228A"/>
    <w:rsid w:val="003324FD"/>
    <w:rsid w:val="00332A95"/>
    <w:rsid w:val="003336F3"/>
    <w:rsid w:val="00334F88"/>
    <w:rsid w:val="00335814"/>
    <w:rsid w:val="0033586A"/>
    <w:rsid w:val="00336419"/>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F9E"/>
    <w:rsid w:val="003540AE"/>
    <w:rsid w:val="00355190"/>
    <w:rsid w:val="00356C67"/>
    <w:rsid w:val="003572A1"/>
    <w:rsid w:val="00361063"/>
    <w:rsid w:val="00361341"/>
    <w:rsid w:val="00361B30"/>
    <w:rsid w:val="003637B7"/>
    <w:rsid w:val="00363E6F"/>
    <w:rsid w:val="00363FC4"/>
    <w:rsid w:val="003642F9"/>
    <w:rsid w:val="003645BE"/>
    <w:rsid w:val="00365AA0"/>
    <w:rsid w:val="00370662"/>
    <w:rsid w:val="0037274A"/>
    <w:rsid w:val="00372D81"/>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232F"/>
    <w:rsid w:val="00392F49"/>
    <w:rsid w:val="00393F32"/>
    <w:rsid w:val="003A0407"/>
    <w:rsid w:val="003A0544"/>
    <w:rsid w:val="003A1816"/>
    <w:rsid w:val="003A2448"/>
    <w:rsid w:val="003A28BB"/>
    <w:rsid w:val="003A2AEC"/>
    <w:rsid w:val="003A6EC7"/>
    <w:rsid w:val="003A717A"/>
    <w:rsid w:val="003B6403"/>
    <w:rsid w:val="003B67C9"/>
    <w:rsid w:val="003B7A21"/>
    <w:rsid w:val="003C0E18"/>
    <w:rsid w:val="003C168D"/>
    <w:rsid w:val="003C278A"/>
    <w:rsid w:val="003C4475"/>
    <w:rsid w:val="003C4535"/>
    <w:rsid w:val="003C55E8"/>
    <w:rsid w:val="003C5CB6"/>
    <w:rsid w:val="003C5E09"/>
    <w:rsid w:val="003C68E1"/>
    <w:rsid w:val="003C6AC1"/>
    <w:rsid w:val="003C708C"/>
    <w:rsid w:val="003C73B0"/>
    <w:rsid w:val="003C74E7"/>
    <w:rsid w:val="003D0C0E"/>
    <w:rsid w:val="003D1457"/>
    <w:rsid w:val="003D188F"/>
    <w:rsid w:val="003D311D"/>
    <w:rsid w:val="003D3E79"/>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150B4"/>
    <w:rsid w:val="00415BE0"/>
    <w:rsid w:val="0041692F"/>
    <w:rsid w:val="004173D2"/>
    <w:rsid w:val="00417A01"/>
    <w:rsid w:val="00420460"/>
    <w:rsid w:val="00421702"/>
    <w:rsid w:val="00422A59"/>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E0D"/>
    <w:rsid w:val="00436F24"/>
    <w:rsid w:val="00441043"/>
    <w:rsid w:val="0044195E"/>
    <w:rsid w:val="0044232B"/>
    <w:rsid w:val="00443F10"/>
    <w:rsid w:val="0044421B"/>
    <w:rsid w:val="00444BA0"/>
    <w:rsid w:val="004463DD"/>
    <w:rsid w:val="00446487"/>
    <w:rsid w:val="004472A0"/>
    <w:rsid w:val="00447722"/>
    <w:rsid w:val="00447A66"/>
    <w:rsid w:val="00450B34"/>
    <w:rsid w:val="00450F6F"/>
    <w:rsid w:val="004512F8"/>
    <w:rsid w:val="00452E7C"/>
    <w:rsid w:val="00452F19"/>
    <w:rsid w:val="00454EE9"/>
    <w:rsid w:val="004551A0"/>
    <w:rsid w:val="00455C3D"/>
    <w:rsid w:val="00455D0F"/>
    <w:rsid w:val="00457193"/>
    <w:rsid w:val="00460E31"/>
    <w:rsid w:val="00463578"/>
    <w:rsid w:val="004642BC"/>
    <w:rsid w:val="004646A3"/>
    <w:rsid w:val="00465E2E"/>
    <w:rsid w:val="00467299"/>
    <w:rsid w:val="00467661"/>
    <w:rsid w:val="004677AF"/>
    <w:rsid w:val="00467BB2"/>
    <w:rsid w:val="00470712"/>
    <w:rsid w:val="00470B0F"/>
    <w:rsid w:val="00472E03"/>
    <w:rsid w:val="00480054"/>
    <w:rsid w:val="004811AB"/>
    <w:rsid w:val="004818EE"/>
    <w:rsid w:val="004825B7"/>
    <w:rsid w:val="00483348"/>
    <w:rsid w:val="004835A9"/>
    <w:rsid w:val="00484E73"/>
    <w:rsid w:val="00485326"/>
    <w:rsid w:val="00485975"/>
    <w:rsid w:val="00485D3E"/>
    <w:rsid w:val="00487647"/>
    <w:rsid w:val="00491213"/>
    <w:rsid w:val="00494615"/>
    <w:rsid w:val="00494CBC"/>
    <w:rsid w:val="00494F3A"/>
    <w:rsid w:val="00496FFC"/>
    <w:rsid w:val="004A36E5"/>
    <w:rsid w:val="004A4623"/>
    <w:rsid w:val="004A48A6"/>
    <w:rsid w:val="004A4B02"/>
    <w:rsid w:val="004A5DE3"/>
    <w:rsid w:val="004A6B41"/>
    <w:rsid w:val="004A78EA"/>
    <w:rsid w:val="004B0C1A"/>
    <w:rsid w:val="004B2028"/>
    <w:rsid w:val="004B2FAF"/>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52DA"/>
    <w:rsid w:val="004D5EC4"/>
    <w:rsid w:val="004D6889"/>
    <w:rsid w:val="004E264D"/>
    <w:rsid w:val="004E371B"/>
    <w:rsid w:val="004E40E5"/>
    <w:rsid w:val="004E4588"/>
    <w:rsid w:val="004E4DC5"/>
    <w:rsid w:val="004E6AFB"/>
    <w:rsid w:val="004E72A9"/>
    <w:rsid w:val="004E7AC3"/>
    <w:rsid w:val="004E7C0D"/>
    <w:rsid w:val="004F1580"/>
    <w:rsid w:val="004F16F2"/>
    <w:rsid w:val="004F27BE"/>
    <w:rsid w:val="004F4838"/>
    <w:rsid w:val="004F4E86"/>
    <w:rsid w:val="004F545F"/>
    <w:rsid w:val="004F57EC"/>
    <w:rsid w:val="004F6081"/>
    <w:rsid w:val="00500690"/>
    <w:rsid w:val="00502B61"/>
    <w:rsid w:val="0050308A"/>
    <w:rsid w:val="0050417C"/>
    <w:rsid w:val="00505297"/>
    <w:rsid w:val="00505DCA"/>
    <w:rsid w:val="0050668B"/>
    <w:rsid w:val="005077AD"/>
    <w:rsid w:val="00507E97"/>
    <w:rsid w:val="00510087"/>
    <w:rsid w:val="0051021D"/>
    <w:rsid w:val="00510621"/>
    <w:rsid w:val="00510831"/>
    <w:rsid w:val="00514468"/>
    <w:rsid w:val="00516416"/>
    <w:rsid w:val="00516F92"/>
    <w:rsid w:val="005202F2"/>
    <w:rsid w:val="005203B2"/>
    <w:rsid w:val="005205D2"/>
    <w:rsid w:val="00521D4D"/>
    <w:rsid w:val="00521DF4"/>
    <w:rsid w:val="005225DC"/>
    <w:rsid w:val="00522F2B"/>
    <w:rsid w:val="00523994"/>
    <w:rsid w:val="00523CCB"/>
    <w:rsid w:val="00523D03"/>
    <w:rsid w:val="0052421D"/>
    <w:rsid w:val="005246AA"/>
    <w:rsid w:val="0052724A"/>
    <w:rsid w:val="005278C0"/>
    <w:rsid w:val="00530CDC"/>
    <w:rsid w:val="0053149B"/>
    <w:rsid w:val="00534318"/>
    <w:rsid w:val="00534891"/>
    <w:rsid w:val="00535915"/>
    <w:rsid w:val="00535AF3"/>
    <w:rsid w:val="00535C51"/>
    <w:rsid w:val="005362D4"/>
    <w:rsid w:val="005363FF"/>
    <w:rsid w:val="00536DC1"/>
    <w:rsid w:val="00536E62"/>
    <w:rsid w:val="005415DC"/>
    <w:rsid w:val="00541BCD"/>
    <w:rsid w:val="00541EB6"/>
    <w:rsid w:val="00542E63"/>
    <w:rsid w:val="00543B76"/>
    <w:rsid w:val="00543DAA"/>
    <w:rsid w:val="00545934"/>
    <w:rsid w:val="005461CA"/>
    <w:rsid w:val="0054730D"/>
    <w:rsid w:val="00547388"/>
    <w:rsid w:val="005503ED"/>
    <w:rsid w:val="00553015"/>
    <w:rsid w:val="00553DC2"/>
    <w:rsid w:val="00554CD1"/>
    <w:rsid w:val="0055503D"/>
    <w:rsid w:val="0055542D"/>
    <w:rsid w:val="00556DC6"/>
    <w:rsid w:val="00556FA2"/>
    <w:rsid w:val="00560882"/>
    <w:rsid w:val="005609F6"/>
    <w:rsid w:val="00561645"/>
    <w:rsid w:val="005627E8"/>
    <w:rsid w:val="005627FC"/>
    <w:rsid w:val="005634F5"/>
    <w:rsid w:val="005655EB"/>
    <w:rsid w:val="00572BDA"/>
    <w:rsid w:val="005735A7"/>
    <w:rsid w:val="00573A73"/>
    <w:rsid w:val="00574B91"/>
    <w:rsid w:val="00574E3C"/>
    <w:rsid w:val="00576B49"/>
    <w:rsid w:val="00577E48"/>
    <w:rsid w:val="00580CF9"/>
    <w:rsid w:val="005820BD"/>
    <w:rsid w:val="00582A98"/>
    <w:rsid w:val="00582DE4"/>
    <w:rsid w:val="0058334F"/>
    <w:rsid w:val="005835A0"/>
    <w:rsid w:val="0058393E"/>
    <w:rsid w:val="00583D84"/>
    <w:rsid w:val="0058474C"/>
    <w:rsid w:val="00584B0A"/>
    <w:rsid w:val="005861E5"/>
    <w:rsid w:val="00586708"/>
    <w:rsid w:val="00586A99"/>
    <w:rsid w:val="00587756"/>
    <w:rsid w:val="00590E98"/>
    <w:rsid w:val="005918D1"/>
    <w:rsid w:val="00592C1B"/>
    <w:rsid w:val="00593028"/>
    <w:rsid w:val="005948F3"/>
    <w:rsid w:val="00594A63"/>
    <w:rsid w:val="0059546F"/>
    <w:rsid w:val="00595F90"/>
    <w:rsid w:val="00597C48"/>
    <w:rsid w:val="005A1CE4"/>
    <w:rsid w:val="005A3199"/>
    <w:rsid w:val="005A3DFB"/>
    <w:rsid w:val="005A4173"/>
    <w:rsid w:val="005A4597"/>
    <w:rsid w:val="005A47C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C5D"/>
    <w:rsid w:val="005D2F99"/>
    <w:rsid w:val="005D4A90"/>
    <w:rsid w:val="005D4AF0"/>
    <w:rsid w:val="005D625F"/>
    <w:rsid w:val="005D6937"/>
    <w:rsid w:val="005D75C8"/>
    <w:rsid w:val="005E1C72"/>
    <w:rsid w:val="005E2614"/>
    <w:rsid w:val="005E26CA"/>
    <w:rsid w:val="005E2D7B"/>
    <w:rsid w:val="005E32F3"/>
    <w:rsid w:val="005E46F1"/>
    <w:rsid w:val="005E4B43"/>
    <w:rsid w:val="005E5C16"/>
    <w:rsid w:val="005E5C8E"/>
    <w:rsid w:val="005F104C"/>
    <w:rsid w:val="005F518B"/>
    <w:rsid w:val="005F5638"/>
    <w:rsid w:val="005F7884"/>
    <w:rsid w:val="00600803"/>
    <w:rsid w:val="006027F0"/>
    <w:rsid w:val="00603680"/>
    <w:rsid w:val="0060467B"/>
    <w:rsid w:val="00604E8C"/>
    <w:rsid w:val="00605448"/>
    <w:rsid w:val="00607AEF"/>
    <w:rsid w:val="00607EAC"/>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5544"/>
    <w:rsid w:val="00635E54"/>
    <w:rsid w:val="00635EB5"/>
    <w:rsid w:val="00637365"/>
    <w:rsid w:val="0063784E"/>
    <w:rsid w:val="0064026C"/>
    <w:rsid w:val="00640762"/>
    <w:rsid w:val="0064160D"/>
    <w:rsid w:val="0064273E"/>
    <w:rsid w:val="00645281"/>
    <w:rsid w:val="0064588E"/>
    <w:rsid w:val="00645BED"/>
    <w:rsid w:val="00645D8D"/>
    <w:rsid w:val="00647C57"/>
    <w:rsid w:val="00650001"/>
    <w:rsid w:val="00651CE9"/>
    <w:rsid w:val="0065394D"/>
    <w:rsid w:val="00653E6D"/>
    <w:rsid w:val="00655116"/>
    <w:rsid w:val="00656680"/>
    <w:rsid w:val="00657A2F"/>
    <w:rsid w:val="006616E3"/>
    <w:rsid w:val="0066178D"/>
    <w:rsid w:val="006626D4"/>
    <w:rsid w:val="00662DED"/>
    <w:rsid w:val="00665477"/>
    <w:rsid w:val="006670D6"/>
    <w:rsid w:val="0066718E"/>
    <w:rsid w:val="00667CD6"/>
    <w:rsid w:val="00671061"/>
    <w:rsid w:val="00672A2C"/>
    <w:rsid w:val="00672EE9"/>
    <w:rsid w:val="00673484"/>
    <w:rsid w:val="00675751"/>
    <w:rsid w:val="00675809"/>
    <w:rsid w:val="00675813"/>
    <w:rsid w:val="00676280"/>
    <w:rsid w:val="00676CB8"/>
    <w:rsid w:val="00676FE5"/>
    <w:rsid w:val="00681D6B"/>
    <w:rsid w:val="00682E52"/>
    <w:rsid w:val="006856EF"/>
    <w:rsid w:val="00685DD6"/>
    <w:rsid w:val="00685E1F"/>
    <w:rsid w:val="00690825"/>
    <w:rsid w:val="00691192"/>
    <w:rsid w:val="00691249"/>
    <w:rsid w:val="006923E1"/>
    <w:rsid w:val="0069278D"/>
    <w:rsid w:val="00694E56"/>
    <w:rsid w:val="00694E7F"/>
    <w:rsid w:val="006A020D"/>
    <w:rsid w:val="006A0369"/>
    <w:rsid w:val="006A0DF9"/>
    <w:rsid w:val="006A1418"/>
    <w:rsid w:val="006A266E"/>
    <w:rsid w:val="006A30D1"/>
    <w:rsid w:val="006A3B80"/>
    <w:rsid w:val="006A6ABB"/>
    <w:rsid w:val="006A702C"/>
    <w:rsid w:val="006B0972"/>
    <w:rsid w:val="006B2AE7"/>
    <w:rsid w:val="006B2D04"/>
    <w:rsid w:val="006B2D1C"/>
    <w:rsid w:val="006B400C"/>
    <w:rsid w:val="006B47AA"/>
    <w:rsid w:val="006B51E1"/>
    <w:rsid w:val="006B5248"/>
    <w:rsid w:val="006B6E14"/>
    <w:rsid w:val="006B76EE"/>
    <w:rsid w:val="006C0300"/>
    <w:rsid w:val="006C1B6F"/>
    <w:rsid w:val="006C2B4F"/>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6D4A"/>
    <w:rsid w:val="006E0D8B"/>
    <w:rsid w:val="006E3FA6"/>
    <w:rsid w:val="006E4B76"/>
    <w:rsid w:val="006E4DF2"/>
    <w:rsid w:val="006E6D14"/>
    <w:rsid w:val="006E7091"/>
    <w:rsid w:val="006E7B1A"/>
    <w:rsid w:val="006E7EA8"/>
    <w:rsid w:val="006F06B9"/>
    <w:rsid w:val="006F1829"/>
    <w:rsid w:val="006F1BEF"/>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6559"/>
    <w:rsid w:val="007366E9"/>
    <w:rsid w:val="00741266"/>
    <w:rsid w:val="00742B23"/>
    <w:rsid w:val="00742C37"/>
    <w:rsid w:val="00744133"/>
    <w:rsid w:val="0074552B"/>
    <w:rsid w:val="0074674C"/>
    <w:rsid w:val="007467C4"/>
    <w:rsid w:val="00747352"/>
    <w:rsid w:val="00747660"/>
    <w:rsid w:val="007502BB"/>
    <w:rsid w:val="007506B6"/>
    <w:rsid w:val="00751008"/>
    <w:rsid w:val="0075117B"/>
    <w:rsid w:val="00751CEF"/>
    <w:rsid w:val="0075207B"/>
    <w:rsid w:val="00752A31"/>
    <w:rsid w:val="00753DF1"/>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477"/>
    <w:rsid w:val="00774EE4"/>
    <w:rsid w:val="00775CFE"/>
    <w:rsid w:val="00776049"/>
    <w:rsid w:val="00776F3B"/>
    <w:rsid w:val="00777564"/>
    <w:rsid w:val="0077767C"/>
    <w:rsid w:val="00781CC5"/>
    <w:rsid w:val="0078236C"/>
    <w:rsid w:val="007827BC"/>
    <w:rsid w:val="00783D20"/>
    <w:rsid w:val="007857E0"/>
    <w:rsid w:val="00787180"/>
    <w:rsid w:val="007919B7"/>
    <w:rsid w:val="00793254"/>
    <w:rsid w:val="007942C8"/>
    <w:rsid w:val="00795184"/>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23"/>
    <w:rsid w:val="007B577A"/>
    <w:rsid w:val="007B58F0"/>
    <w:rsid w:val="007B6132"/>
    <w:rsid w:val="007B6286"/>
    <w:rsid w:val="007C343E"/>
    <w:rsid w:val="007C3BFE"/>
    <w:rsid w:val="007C48D1"/>
    <w:rsid w:val="007C4D08"/>
    <w:rsid w:val="007C7155"/>
    <w:rsid w:val="007C7398"/>
    <w:rsid w:val="007D0E42"/>
    <w:rsid w:val="007D1424"/>
    <w:rsid w:val="007D1941"/>
    <w:rsid w:val="007D1F7B"/>
    <w:rsid w:val="007D3B79"/>
    <w:rsid w:val="007D42C5"/>
    <w:rsid w:val="007D4EB1"/>
    <w:rsid w:val="007D504B"/>
    <w:rsid w:val="007D60B3"/>
    <w:rsid w:val="007E1165"/>
    <w:rsid w:val="007E3B01"/>
    <w:rsid w:val="007E5BFD"/>
    <w:rsid w:val="007E6BCF"/>
    <w:rsid w:val="007E6D01"/>
    <w:rsid w:val="007E70D0"/>
    <w:rsid w:val="007E79A3"/>
    <w:rsid w:val="007E79F0"/>
    <w:rsid w:val="007F16AA"/>
    <w:rsid w:val="007F2DE1"/>
    <w:rsid w:val="007F3CA0"/>
    <w:rsid w:val="007F4275"/>
    <w:rsid w:val="007F4592"/>
    <w:rsid w:val="007F4673"/>
    <w:rsid w:val="007F66BF"/>
    <w:rsid w:val="007F722E"/>
    <w:rsid w:val="007F76F2"/>
    <w:rsid w:val="00803002"/>
    <w:rsid w:val="008031A8"/>
    <w:rsid w:val="0080350C"/>
    <w:rsid w:val="008047B3"/>
    <w:rsid w:val="00804C59"/>
    <w:rsid w:val="00805337"/>
    <w:rsid w:val="008057A1"/>
    <w:rsid w:val="008102A3"/>
    <w:rsid w:val="008109FF"/>
    <w:rsid w:val="008116A0"/>
    <w:rsid w:val="008118EF"/>
    <w:rsid w:val="00811CCD"/>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4050F"/>
    <w:rsid w:val="00841156"/>
    <w:rsid w:val="00841C1D"/>
    <w:rsid w:val="00841E72"/>
    <w:rsid w:val="00842E6F"/>
    <w:rsid w:val="00842F50"/>
    <w:rsid w:val="008445AC"/>
    <w:rsid w:val="008451B8"/>
    <w:rsid w:val="00846F01"/>
    <w:rsid w:val="00847418"/>
    <w:rsid w:val="00847608"/>
    <w:rsid w:val="00851E9F"/>
    <w:rsid w:val="008539B1"/>
    <w:rsid w:val="00853F0F"/>
    <w:rsid w:val="00854198"/>
    <w:rsid w:val="0085553E"/>
    <w:rsid w:val="008562E6"/>
    <w:rsid w:val="008578D5"/>
    <w:rsid w:val="00857C04"/>
    <w:rsid w:val="0086138B"/>
    <w:rsid w:val="008618D7"/>
    <w:rsid w:val="0086576A"/>
    <w:rsid w:val="00865F37"/>
    <w:rsid w:val="00866BFD"/>
    <w:rsid w:val="00866DE4"/>
    <w:rsid w:val="008672BF"/>
    <w:rsid w:val="008672DF"/>
    <w:rsid w:val="00870661"/>
    <w:rsid w:val="00870E7C"/>
    <w:rsid w:val="008731E9"/>
    <w:rsid w:val="008741FC"/>
    <w:rsid w:val="00874458"/>
    <w:rsid w:val="00874D67"/>
    <w:rsid w:val="0087510D"/>
    <w:rsid w:val="00875255"/>
    <w:rsid w:val="0087567B"/>
    <w:rsid w:val="00875AA2"/>
    <w:rsid w:val="008762E0"/>
    <w:rsid w:val="0087683D"/>
    <w:rsid w:val="0087729E"/>
    <w:rsid w:val="00880F80"/>
    <w:rsid w:val="0088112F"/>
    <w:rsid w:val="00882A2C"/>
    <w:rsid w:val="008843A6"/>
    <w:rsid w:val="00885347"/>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516C"/>
    <w:rsid w:val="008B5405"/>
    <w:rsid w:val="008B5FF7"/>
    <w:rsid w:val="008B6F4B"/>
    <w:rsid w:val="008B7F0D"/>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7B1"/>
    <w:rsid w:val="008E3CCE"/>
    <w:rsid w:val="008E3FA1"/>
    <w:rsid w:val="008E4B40"/>
    <w:rsid w:val="008E53BF"/>
    <w:rsid w:val="008E567E"/>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295D"/>
    <w:rsid w:val="00912F97"/>
    <w:rsid w:val="0091426C"/>
    <w:rsid w:val="00916F22"/>
    <w:rsid w:val="00916F30"/>
    <w:rsid w:val="00922059"/>
    <w:rsid w:val="009257C1"/>
    <w:rsid w:val="00925941"/>
    <w:rsid w:val="0092603A"/>
    <w:rsid w:val="009264E1"/>
    <w:rsid w:val="00927C10"/>
    <w:rsid w:val="009301DD"/>
    <w:rsid w:val="00930E95"/>
    <w:rsid w:val="00931464"/>
    <w:rsid w:val="00933B79"/>
    <w:rsid w:val="00933BDB"/>
    <w:rsid w:val="009348E3"/>
    <w:rsid w:val="00934C3A"/>
    <w:rsid w:val="00935EE7"/>
    <w:rsid w:val="00936962"/>
    <w:rsid w:val="00937175"/>
    <w:rsid w:val="0093732C"/>
    <w:rsid w:val="00937F80"/>
    <w:rsid w:val="009406EE"/>
    <w:rsid w:val="0094204A"/>
    <w:rsid w:val="00942AAB"/>
    <w:rsid w:val="0094574B"/>
    <w:rsid w:val="009465EC"/>
    <w:rsid w:val="00946B6D"/>
    <w:rsid w:val="00947E56"/>
    <w:rsid w:val="00951059"/>
    <w:rsid w:val="009512F2"/>
    <w:rsid w:val="00951892"/>
    <w:rsid w:val="00951E90"/>
    <w:rsid w:val="0095382D"/>
    <w:rsid w:val="00953D37"/>
    <w:rsid w:val="00955019"/>
    <w:rsid w:val="009551A5"/>
    <w:rsid w:val="009553F7"/>
    <w:rsid w:val="00955530"/>
    <w:rsid w:val="00955D5A"/>
    <w:rsid w:val="00955E53"/>
    <w:rsid w:val="009577FF"/>
    <w:rsid w:val="0096016B"/>
    <w:rsid w:val="00962EB5"/>
    <w:rsid w:val="00962FBE"/>
    <w:rsid w:val="0096307B"/>
    <w:rsid w:val="00963DE2"/>
    <w:rsid w:val="0096415C"/>
    <w:rsid w:val="00964B89"/>
    <w:rsid w:val="00965A15"/>
    <w:rsid w:val="0096755C"/>
    <w:rsid w:val="00967971"/>
    <w:rsid w:val="00967BBF"/>
    <w:rsid w:val="0097173E"/>
    <w:rsid w:val="00971D49"/>
    <w:rsid w:val="009721A3"/>
    <w:rsid w:val="0097257D"/>
    <w:rsid w:val="009738B0"/>
    <w:rsid w:val="00974567"/>
    <w:rsid w:val="00977AF7"/>
    <w:rsid w:val="00980AC9"/>
    <w:rsid w:val="00981B55"/>
    <w:rsid w:val="009835F0"/>
    <w:rsid w:val="00983661"/>
    <w:rsid w:val="00983FEF"/>
    <w:rsid w:val="00984CC4"/>
    <w:rsid w:val="00985B9E"/>
    <w:rsid w:val="00986608"/>
    <w:rsid w:val="00986A59"/>
    <w:rsid w:val="00986B89"/>
    <w:rsid w:val="009874E5"/>
    <w:rsid w:val="009921C9"/>
    <w:rsid w:val="00992454"/>
    <w:rsid w:val="00992CE8"/>
    <w:rsid w:val="0099342D"/>
    <w:rsid w:val="00993D0E"/>
    <w:rsid w:val="00993F99"/>
    <w:rsid w:val="009940D7"/>
    <w:rsid w:val="00995B37"/>
    <w:rsid w:val="0099759A"/>
    <w:rsid w:val="009A1195"/>
    <w:rsid w:val="009A1A13"/>
    <w:rsid w:val="009A291A"/>
    <w:rsid w:val="009A5205"/>
    <w:rsid w:val="009A65B4"/>
    <w:rsid w:val="009A6B05"/>
    <w:rsid w:val="009A79FD"/>
    <w:rsid w:val="009A7C7B"/>
    <w:rsid w:val="009B13E4"/>
    <w:rsid w:val="009B1477"/>
    <w:rsid w:val="009B16CD"/>
    <w:rsid w:val="009B2AE7"/>
    <w:rsid w:val="009B54C2"/>
    <w:rsid w:val="009B64EC"/>
    <w:rsid w:val="009B6AE2"/>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2AB7"/>
    <w:rsid w:val="009F3C98"/>
    <w:rsid w:val="009F47F4"/>
    <w:rsid w:val="009F494C"/>
    <w:rsid w:val="009F6485"/>
    <w:rsid w:val="009F666C"/>
    <w:rsid w:val="009F7654"/>
    <w:rsid w:val="00A014BE"/>
    <w:rsid w:val="00A0375F"/>
    <w:rsid w:val="00A04340"/>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5379"/>
    <w:rsid w:val="00A25CF4"/>
    <w:rsid w:val="00A27B93"/>
    <w:rsid w:val="00A303C2"/>
    <w:rsid w:val="00A30A32"/>
    <w:rsid w:val="00A30BDF"/>
    <w:rsid w:val="00A316FB"/>
    <w:rsid w:val="00A31EE2"/>
    <w:rsid w:val="00A32255"/>
    <w:rsid w:val="00A322F0"/>
    <w:rsid w:val="00A34D6F"/>
    <w:rsid w:val="00A34FDA"/>
    <w:rsid w:val="00A41547"/>
    <w:rsid w:val="00A41C58"/>
    <w:rsid w:val="00A420C9"/>
    <w:rsid w:val="00A42454"/>
    <w:rsid w:val="00A42ACF"/>
    <w:rsid w:val="00A43A66"/>
    <w:rsid w:val="00A45918"/>
    <w:rsid w:val="00A459AA"/>
    <w:rsid w:val="00A47206"/>
    <w:rsid w:val="00A5065C"/>
    <w:rsid w:val="00A517AB"/>
    <w:rsid w:val="00A51FDE"/>
    <w:rsid w:val="00A52078"/>
    <w:rsid w:val="00A52A37"/>
    <w:rsid w:val="00A5306A"/>
    <w:rsid w:val="00A53488"/>
    <w:rsid w:val="00A54C08"/>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EB8"/>
    <w:rsid w:val="00A75895"/>
    <w:rsid w:val="00A75E7C"/>
    <w:rsid w:val="00A76496"/>
    <w:rsid w:val="00A820C2"/>
    <w:rsid w:val="00A82820"/>
    <w:rsid w:val="00A829B0"/>
    <w:rsid w:val="00A82C03"/>
    <w:rsid w:val="00A837B9"/>
    <w:rsid w:val="00A839C0"/>
    <w:rsid w:val="00A85E52"/>
    <w:rsid w:val="00A868FC"/>
    <w:rsid w:val="00A86D60"/>
    <w:rsid w:val="00A91FC2"/>
    <w:rsid w:val="00A92266"/>
    <w:rsid w:val="00A92B4E"/>
    <w:rsid w:val="00A93A9C"/>
    <w:rsid w:val="00A93BE5"/>
    <w:rsid w:val="00A93F68"/>
    <w:rsid w:val="00A94BC3"/>
    <w:rsid w:val="00A94EEE"/>
    <w:rsid w:val="00A957DC"/>
    <w:rsid w:val="00A9753C"/>
    <w:rsid w:val="00A977F1"/>
    <w:rsid w:val="00AA0727"/>
    <w:rsid w:val="00AA0B9C"/>
    <w:rsid w:val="00AA1E37"/>
    <w:rsid w:val="00AA3365"/>
    <w:rsid w:val="00AA45A3"/>
    <w:rsid w:val="00AA49B7"/>
    <w:rsid w:val="00AA63A0"/>
    <w:rsid w:val="00AA69DF"/>
    <w:rsid w:val="00AB1961"/>
    <w:rsid w:val="00AB1C8A"/>
    <w:rsid w:val="00AB2157"/>
    <w:rsid w:val="00AB39A3"/>
    <w:rsid w:val="00AB501C"/>
    <w:rsid w:val="00AB58DB"/>
    <w:rsid w:val="00AB6032"/>
    <w:rsid w:val="00AC02D7"/>
    <w:rsid w:val="00AC2AD6"/>
    <w:rsid w:val="00AC330A"/>
    <w:rsid w:val="00AC334F"/>
    <w:rsid w:val="00AC39F5"/>
    <w:rsid w:val="00AC3DC8"/>
    <w:rsid w:val="00AC41CF"/>
    <w:rsid w:val="00AC4EB4"/>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10292"/>
    <w:rsid w:val="00B10F33"/>
    <w:rsid w:val="00B121A2"/>
    <w:rsid w:val="00B1372C"/>
    <w:rsid w:val="00B1378B"/>
    <w:rsid w:val="00B13C69"/>
    <w:rsid w:val="00B14BBB"/>
    <w:rsid w:val="00B14C58"/>
    <w:rsid w:val="00B14FD7"/>
    <w:rsid w:val="00B15708"/>
    <w:rsid w:val="00B163CE"/>
    <w:rsid w:val="00B169D3"/>
    <w:rsid w:val="00B20F08"/>
    <w:rsid w:val="00B215C7"/>
    <w:rsid w:val="00B21700"/>
    <w:rsid w:val="00B21E0C"/>
    <w:rsid w:val="00B21F52"/>
    <w:rsid w:val="00B22E75"/>
    <w:rsid w:val="00B244D7"/>
    <w:rsid w:val="00B24F27"/>
    <w:rsid w:val="00B26C28"/>
    <w:rsid w:val="00B26E2B"/>
    <w:rsid w:val="00B273AD"/>
    <w:rsid w:val="00B32319"/>
    <w:rsid w:val="00B32CF6"/>
    <w:rsid w:val="00B3308C"/>
    <w:rsid w:val="00B336DE"/>
    <w:rsid w:val="00B34575"/>
    <w:rsid w:val="00B3593F"/>
    <w:rsid w:val="00B35A89"/>
    <w:rsid w:val="00B367BA"/>
    <w:rsid w:val="00B40D67"/>
    <w:rsid w:val="00B40D98"/>
    <w:rsid w:val="00B41A24"/>
    <w:rsid w:val="00B41F77"/>
    <w:rsid w:val="00B421FB"/>
    <w:rsid w:val="00B422A2"/>
    <w:rsid w:val="00B427AE"/>
    <w:rsid w:val="00B42D8F"/>
    <w:rsid w:val="00B42E31"/>
    <w:rsid w:val="00B43674"/>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75C8"/>
    <w:rsid w:val="00B70843"/>
    <w:rsid w:val="00B71467"/>
    <w:rsid w:val="00B71D1B"/>
    <w:rsid w:val="00B72183"/>
    <w:rsid w:val="00B729D0"/>
    <w:rsid w:val="00B73BC8"/>
    <w:rsid w:val="00B74D01"/>
    <w:rsid w:val="00B7607D"/>
    <w:rsid w:val="00B76AF4"/>
    <w:rsid w:val="00B77027"/>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6259"/>
    <w:rsid w:val="00BB6B7F"/>
    <w:rsid w:val="00BB7C6F"/>
    <w:rsid w:val="00BC029E"/>
    <w:rsid w:val="00BC036D"/>
    <w:rsid w:val="00BC122C"/>
    <w:rsid w:val="00BC1640"/>
    <w:rsid w:val="00BC17E0"/>
    <w:rsid w:val="00BC27BB"/>
    <w:rsid w:val="00BC2BFD"/>
    <w:rsid w:val="00BC3839"/>
    <w:rsid w:val="00BC5D88"/>
    <w:rsid w:val="00BC6016"/>
    <w:rsid w:val="00BC6C31"/>
    <w:rsid w:val="00BC6DE0"/>
    <w:rsid w:val="00BD0142"/>
    <w:rsid w:val="00BD36E9"/>
    <w:rsid w:val="00BD4BF3"/>
    <w:rsid w:val="00BD50DB"/>
    <w:rsid w:val="00BD5302"/>
    <w:rsid w:val="00BD63E3"/>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20097"/>
    <w:rsid w:val="00C202C5"/>
    <w:rsid w:val="00C20490"/>
    <w:rsid w:val="00C21672"/>
    <w:rsid w:val="00C22BFF"/>
    <w:rsid w:val="00C234EA"/>
    <w:rsid w:val="00C23ACE"/>
    <w:rsid w:val="00C23D66"/>
    <w:rsid w:val="00C243BD"/>
    <w:rsid w:val="00C245D5"/>
    <w:rsid w:val="00C25EE9"/>
    <w:rsid w:val="00C263C3"/>
    <w:rsid w:val="00C272DC"/>
    <w:rsid w:val="00C31CEB"/>
    <w:rsid w:val="00C31E2C"/>
    <w:rsid w:val="00C321DD"/>
    <w:rsid w:val="00C33E5F"/>
    <w:rsid w:val="00C34C87"/>
    <w:rsid w:val="00C354EF"/>
    <w:rsid w:val="00C36165"/>
    <w:rsid w:val="00C36DC5"/>
    <w:rsid w:val="00C3722A"/>
    <w:rsid w:val="00C4025D"/>
    <w:rsid w:val="00C40B71"/>
    <w:rsid w:val="00C41386"/>
    <w:rsid w:val="00C423D9"/>
    <w:rsid w:val="00C43146"/>
    <w:rsid w:val="00C43FC7"/>
    <w:rsid w:val="00C44C20"/>
    <w:rsid w:val="00C47105"/>
    <w:rsid w:val="00C47252"/>
    <w:rsid w:val="00C52A37"/>
    <w:rsid w:val="00C536C6"/>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A89"/>
    <w:rsid w:val="00C86AD1"/>
    <w:rsid w:val="00C87839"/>
    <w:rsid w:val="00C905FF"/>
    <w:rsid w:val="00C91467"/>
    <w:rsid w:val="00C914F5"/>
    <w:rsid w:val="00C919D3"/>
    <w:rsid w:val="00C9260A"/>
    <w:rsid w:val="00C93DCC"/>
    <w:rsid w:val="00C947E4"/>
    <w:rsid w:val="00C9530E"/>
    <w:rsid w:val="00C95C0C"/>
    <w:rsid w:val="00CA0978"/>
    <w:rsid w:val="00CA15E3"/>
    <w:rsid w:val="00CA1D9F"/>
    <w:rsid w:val="00CA208A"/>
    <w:rsid w:val="00CA2B28"/>
    <w:rsid w:val="00CA3062"/>
    <w:rsid w:val="00CA31E6"/>
    <w:rsid w:val="00CA5B27"/>
    <w:rsid w:val="00CA69E5"/>
    <w:rsid w:val="00CA7AD1"/>
    <w:rsid w:val="00CB001F"/>
    <w:rsid w:val="00CB1FEB"/>
    <w:rsid w:val="00CB2771"/>
    <w:rsid w:val="00CB2AB1"/>
    <w:rsid w:val="00CB72E5"/>
    <w:rsid w:val="00CB7D8F"/>
    <w:rsid w:val="00CC1C78"/>
    <w:rsid w:val="00CC2FD9"/>
    <w:rsid w:val="00CC35E2"/>
    <w:rsid w:val="00CC3B58"/>
    <w:rsid w:val="00CC3CF1"/>
    <w:rsid w:val="00CC4070"/>
    <w:rsid w:val="00CC467B"/>
    <w:rsid w:val="00CC4DF5"/>
    <w:rsid w:val="00CC6393"/>
    <w:rsid w:val="00CC63F6"/>
    <w:rsid w:val="00CC6F89"/>
    <w:rsid w:val="00CD0138"/>
    <w:rsid w:val="00CD0992"/>
    <w:rsid w:val="00CD0C2E"/>
    <w:rsid w:val="00CD1302"/>
    <w:rsid w:val="00CD1F7D"/>
    <w:rsid w:val="00CD25D8"/>
    <w:rsid w:val="00CD28F1"/>
    <w:rsid w:val="00CD344D"/>
    <w:rsid w:val="00CD38B5"/>
    <w:rsid w:val="00CD4E3C"/>
    <w:rsid w:val="00CD5076"/>
    <w:rsid w:val="00CD5218"/>
    <w:rsid w:val="00CD654F"/>
    <w:rsid w:val="00CD667F"/>
    <w:rsid w:val="00CE14E4"/>
    <w:rsid w:val="00CE17AA"/>
    <w:rsid w:val="00CE3232"/>
    <w:rsid w:val="00CE4585"/>
    <w:rsid w:val="00CE4FA6"/>
    <w:rsid w:val="00CE56E1"/>
    <w:rsid w:val="00CF2541"/>
    <w:rsid w:val="00CF2D9C"/>
    <w:rsid w:val="00CF3482"/>
    <w:rsid w:val="00CF3F5D"/>
    <w:rsid w:val="00CF592B"/>
    <w:rsid w:val="00CF5BD9"/>
    <w:rsid w:val="00CF6ACC"/>
    <w:rsid w:val="00CF6DD1"/>
    <w:rsid w:val="00D00000"/>
    <w:rsid w:val="00D02400"/>
    <w:rsid w:val="00D032B8"/>
    <w:rsid w:val="00D05D62"/>
    <w:rsid w:val="00D06414"/>
    <w:rsid w:val="00D06840"/>
    <w:rsid w:val="00D06C4A"/>
    <w:rsid w:val="00D12BD3"/>
    <w:rsid w:val="00D15E4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A5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A42"/>
    <w:rsid w:val="00D64DAA"/>
    <w:rsid w:val="00D64EFD"/>
    <w:rsid w:val="00D64FA4"/>
    <w:rsid w:val="00D65666"/>
    <w:rsid w:val="00D67261"/>
    <w:rsid w:val="00D673E6"/>
    <w:rsid w:val="00D676E0"/>
    <w:rsid w:val="00D70B2F"/>
    <w:rsid w:val="00D70D31"/>
    <w:rsid w:val="00D70DE4"/>
    <w:rsid w:val="00D72658"/>
    <w:rsid w:val="00D744FF"/>
    <w:rsid w:val="00D74F33"/>
    <w:rsid w:val="00D75D73"/>
    <w:rsid w:val="00D7687F"/>
    <w:rsid w:val="00D807C9"/>
    <w:rsid w:val="00D80835"/>
    <w:rsid w:val="00D82FEB"/>
    <w:rsid w:val="00D83D60"/>
    <w:rsid w:val="00D841E6"/>
    <w:rsid w:val="00D84487"/>
    <w:rsid w:val="00D84667"/>
    <w:rsid w:val="00D86118"/>
    <w:rsid w:val="00D873CB"/>
    <w:rsid w:val="00D879A7"/>
    <w:rsid w:val="00D87EE8"/>
    <w:rsid w:val="00D90DAC"/>
    <w:rsid w:val="00D91BC3"/>
    <w:rsid w:val="00D92D51"/>
    <w:rsid w:val="00D935E9"/>
    <w:rsid w:val="00D95B75"/>
    <w:rsid w:val="00D96CD7"/>
    <w:rsid w:val="00D97519"/>
    <w:rsid w:val="00DA00AB"/>
    <w:rsid w:val="00DA1B96"/>
    <w:rsid w:val="00DA243F"/>
    <w:rsid w:val="00DA3674"/>
    <w:rsid w:val="00DA3A2B"/>
    <w:rsid w:val="00DA3C79"/>
    <w:rsid w:val="00DA4CF4"/>
    <w:rsid w:val="00DA542A"/>
    <w:rsid w:val="00DA5891"/>
    <w:rsid w:val="00DA5B79"/>
    <w:rsid w:val="00DA604A"/>
    <w:rsid w:val="00DA6A90"/>
    <w:rsid w:val="00DA70A8"/>
    <w:rsid w:val="00DA73D2"/>
    <w:rsid w:val="00DA795B"/>
    <w:rsid w:val="00DA7C94"/>
    <w:rsid w:val="00DB2BAD"/>
    <w:rsid w:val="00DB56F3"/>
    <w:rsid w:val="00DB5A59"/>
    <w:rsid w:val="00DB6F16"/>
    <w:rsid w:val="00DC225C"/>
    <w:rsid w:val="00DC2717"/>
    <w:rsid w:val="00DC2FC0"/>
    <w:rsid w:val="00DC38D5"/>
    <w:rsid w:val="00DC4FFA"/>
    <w:rsid w:val="00DC508C"/>
    <w:rsid w:val="00DC5C92"/>
    <w:rsid w:val="00DC62CE"/>
    <w:rsid w:val="00DC6486"/>
    <w:rsid w:val="00DC7551"/>
    <w:rsid w:val="00DD01BC"/>
    <w:rsid w:val="00DD0E50"/>
    <w:rsid w:val="00DD1AB1"/>
    <w:rsid w:val="00DD1EC2"/>
    <w:rsid w:val="00DD417D"/>
    <w:rsid w:val="00DD5502"/>
    <w:rsid w:val="00DD589D"/>
    <w:rsid w:val="00DD6316"/>
    <w:rsid w:val="00DD6B33"/>
    <w:rsid w:val="00DD6ED8"/>
    <w:rsid w:val="00DE00D7"/>
    <w:rsid w:val="00DE08DC"/>
    <w:rsid w:val="00DE18F3"/>
    <w:rsid w:val="00DE1B16"/>
    <w:rsid w:val="00DE1E5B"/>
    <w:rsid w:val="00DE225D"/>
    <w:rsid w:val="00DE2506"/>
    <w:rsid w:val="00DE31D1"/>
    <w:rsid w:val="00DE4D1E"/>
    <w:rsid w:val="00DE52FA"/>
    <w:rsid w:val="00DE6AF6"/>
    <w:rsid w:val="00DE7196"/>
    <w:rsid w:val="00DE743D"/>
    <w:rsid w:val="00DE745F"/>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B27"/>
    <w:rsid w:val="00E04292"/>
    <w:rsid w:val="00E05E7A"/>
    <w:rsid w:val="00E06A2C"/>
    <w:rsid w:val="00E070C6"/>
    <w:rsid w:val="00E07716"/>
    <w:rsid w:val="00E1018A"/>
    <w:rsid w:val="00E1058A"/>
    <w:rsid w:val="00E123A8"/>
    <w:rsid w:val="00E12577"/>
    <w:rsid w:val="00E13679"/>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4032F"/>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70EF"/>
    <w:rsid w:val="00EA773D"/>
    <w:rsid w:val="00EA7953"/>
    <w:rsid w:val="00EB10D6"/>
    <w:rsid w:val="00EB1C97"/>
    <w:rsid w:val="00EB1F8E"/>
    <w:rsid w:val="00EB2276"/>
    <w:rsid w:val="00EB3670"/>
    <w:rsid w:val="00EB4075"/>
    <w:rsid w:val="00EB467F"/>
    <w:rsid w:val="00EB49E8"/>
    <w:rsid w:val="00EB6C54"/>
    <w:rsid w:val="00EB742E"/>
    <w:rsid w:val="00EC0654"/>
    <w:rsid w:val="00EC43AA"/>
    <w:rsid w:val="00EC61E1"/>
    <w:rsid w:val="00EC6426"/>
    <w:rsid w:val="00ED14CD"/>
    <w:rsid w:val="00ED291D"/>
    <w:rsid w:val="00ED3142"/>
    <w:rsid w:val="00ED48BB"/>
    <w:rsid w:val="00ED4D8C"/>
    <w:rsid w:val="00EE01B5"/>
    <w:rsid w:val="00EE0BEF"/>
    <w:rsid w:val="00EE0EB2"/>
    <w:rsid w:val="00EE15BE"/>
    <w:rsid w:val="00EE1AAA"/>
    <w:rsid w:val="00EE2C12"/>
    <w:rsid w:val="00EE629A"/>
    <w:rsid w:val="00EE6853"/>
    <w:rsid w:val="00EE69C6"/>
    <w:rsid w:val="00EE6C0E"/>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38F9"/>
    <w:rsid w:val="00F45974"/>
    <w:rsid w:val="00F45FB5"/>
    <w:rsid w:val="00F4668B"/>
    <w:rsid w:val="00F474EE"/>
    <w:rsid w:val="00F519F1"/>
    <w:rsid w:val="00F54CA0"/>
    <w:rsid w:val="00F55710"/>
    <w:rsid w:val="00F56184"/>
    <w:rsid w:val="00F567F5"/>
    <w:rsid w:val="00F579E4"/>
    <w:rsid w:val="00F57C04"/>
    <w:rsid w:val="00F607D0"/>
    <w:rsid w:val="00F60F42"/>
    <w:rsid w:val="00F6247B"/>
    <w:rsid w:val="00F63037"/>
    <w:rsid w:val="00F644DE"/>
    <w:rsid w:val="00F649F0"/>
    <w:rsid w:val="00F64F36"/>
    <w:rsid w:val="00F710EF"/>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7136"/>
    <w:rsid w:val="00F97D38"/>
    <w:rsid w:val="00FA29E9"/>
    <w:rsid w:val="00FA38D1"/>
    <w:rsid w:val="00FA418C"/>
    <w:rsid w:val="00FA58B7"/>
    <w:rsid w:val="00FA60CB"/>
    <w:rsid w:val="00FA6608"/>
    <w:rsid w:val="00FA7D9F"/>
    <w:rsid w:val="00FB097F"/>
    <w:rsid w:val="00FB143B"/>
    <w:rsid w:val="00FB2F9A"/>
    <w:rsid w:val="00FB7150"/>
    <w:rsid w:val="00FB7479"/>
    <w:rsid w:val="00FC016A"/>
    <w:rsid w:val="00FC0B78"/>
    <w:rsid w:val="00FC19C5"/>
    <w:rsid w:val="00FC3A84"/>
    <w:rsid w:val="00FC4778"/>
    <w:rsid w:val="00FC48A4"/>
    <w:rsid w:val="00FC53E9"/>
    <w:rsid w:val="00FC576B"/>
    <w:rsid w:val="00FC5B41"/>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46F0"/>
    <w:rsid w:val="00FE55C2"/>
    <w:rsid w:val="00FE6B9E"/>
    <w:rsid w:val="00FE6DBB"/>
    <w:rsid w:val="00FE7040"/>
    <w:rsid w:val="00FE7C2F"/>
    <w:rsid w:val="00FF16D8"/>
    <w:rsid w:val="00FF5A94"/>
    <w:rsid w:val="00FF5E7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19F27C"/>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421100391">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0078153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DB5D-A905-4F0D-BF83-F6ED7FD88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6043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ha ottenuto il maggiore fatturato nella storia dell'azienda</dc:title>
  <dc:creator>Wohlfarth Andrea</dc:creator>
  <cp:lastModifiedBy>Weiß Lena</cp:lastModifiedBy>
  <cp:revision>2</cp:revision>
  <cp:lastPrinted>2020-09-07T05:28:00Z</cp:lastPrinted>
  <dcterms:created xsi:type="dcterms:W3CDTF">2021-02-08T08:30:00Z</dcterms:created>
  <dcterms:modified xsi:type="dcterms:W3CDTF">2021-02-08T08:30:00Z</dcterms:modified>
</cp:coreProperties>
</file>