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9B23E" w14:textId="6FD63471" w:rsidR="004C602C" w:rsidRDefault="004C602C" w:rsidP="00B34DB2">
      <w:pPr>
        <w:spacing w:line="360" w:lineRule="auto"/>
        <w:ind w:left="0" w:right="1693"/>
        <w:rPr>
          <w:rFonts w:cs="Arial"/>
          <w:b/>
          <w:sz w:val="28"/>
          <w:szCs w:val="28"/>
        </w:rPr>
      </w:pPr>
    </w:p>
    <w:p w14:paraId="7E2EE4D7" w14:textId="50DEF495" w:rsidR="0073741E" w:rsidRPr="002D5361" w:rsidRDefault="0073167A" w:rsidP="00FD17B6">
      <w:pPr>
        <w:spacing w:line="360" w:lineRule="auto"/>
        <w:ind w:left="0" w:right="1693"/>
        <w:jc w:val="left"/>
        <w:rPr>
          <w:rFonts w:cs="Arial"/>
          <w:b/>
          <w:sz w:val="28"/>
          <w:szCs w:val="28"/>
        </w:rPr>
      </w:pPr>
      <w:r>
        <w:rPr>
          <w:rFonts w:cs="Arial"/>
          <w:b/>
          <w:sz w:val="28"/>
          <w:szCs w:val="28"/>
        </w:rPr>
        <w:t>Analisi intelligente dei dati: la nuova applicazione web di TGW contribuisce all'ottimizzazione</w:t>
      </w:r>
    </w:p>
    <w:p w14:paraId="680E18BE" w14:textId="77777777" w:rsidR="00315732" w:rsidRPr="00314569" w:rsidRDefault="00315732" w:rsidP="00B34DB2">
      <w:pPr>
        <w:spacing w:line="360" w:lineRule="auto"/>
        <w:ind w:left="0" w:right="1693"/>
        <w:rPr>
          <w:rFonts w:cs="Arial"/>
          <w:b/>
          <w:sz w:val="18"/>
          <w:szCs w:val="18"/>
        </w:rPr>
      </w:pPr>
    </w:p>
    <w:p w14:paraId="7FD82EF9" w14:textId="62C3C8AE" w:rsidR="00222AA7" w:rsidRPr="00D53A87" w:rsidRDefault="006D27DD" w:rsidP="00C42B3C">
      <w:pPr>
        <w:pStyle w:val="Listenabsatz"/>
        <w:numPr>
          <w:ilvl w:val="0"/>
          <w:numId w:val="21"/>
        </w:numPr>
        <w:spacing w:line="360" w:lineRule="auto"/>
        <w:ind w:right="1693"/>
        <w:jc w:val="left"/>
        <w:rPr>
          <w:rFonts w:cs="Arial"/>
          <w:b/>
          <w:sz w:val="24"/>
          <w:szCs w:val="24"/>
        </w:rPr>
      </w:pPr>
      <w:r>
        <w:rPr>
          <w:rFonts w:cs="Arial"/>
          <w:b/>
          <w:sz w:val="24"/>
          <w:szCs w:val="24"/>
        </w:rPr>
        <w:t>Data analysis e reporting dashboard forniscono una comoda panoramica dell'intero sistema</w:t>
      </w:r>
    </w:p>
    <w:p w14:paraId="238F13A0" w14:textId="3DD07568" w:rsidR="00060901" w:rsidRDefault="00F4623F" w:rsidP="00C42B3C">
      <w:pPr>
        <w:pStyle w:val="Listenabsatz"/>
        <w:numPr>
          <w:ilvl w:val="0"/>
          <w:numId w:val="21"/>
        </w:numPr>
        <w:spacing w:line="360" w:lineRule="auto"/>
        <w:ind w:right="1693"/>
        <w:jc w:val="left"/>
        <w:rPr>
          <w:rFonts w:cs="Arial"/>
          <w:b/>
          <w:sz w:val="24"/>
          <w:szCs w:val="24"/>
        </w:rPr>
      </w:pPr>
      <w:r>
        <w:rPr>
          <w:rFonts w:cs="Arial"/>
          <w:b/>
          <w:sz w:val="24"/>
          <w:szCs w:val="24"/>
        </w:rPr>
        <w:t>Applicazione web Lifetime Services facile da implementare e da utilizzare anche nei progetti di retrofit</w:t>
      </w:r>
    </w:p>
    <w:p w14:paraId="30B2C4EB" w14:textId="64BEE9D2" w:rsidR="00AE2646" w:rsidRDefault="00F86EE6" w:rsidP="00C42B3C">
      <w:pPr>
        <w:pStyle w:val="Listenabsatz"/>
        <w:numPr>
          <w:ilvl w:val="0"/>
          <w:numId w:val="21"/>
        </w:numPr>
        <w:spacing w:line="360" w:lineRule="auto"/>
        <w:ind w:right="1693"/>
        <w:jc w:val="left"/>
        <w:rPr>
          <w:rFonts w:cs="Arial"/>
          <w:b/>
          <w:sz w:val="24"/>
          <w:szCs w:val="24"/>
        </w:rPr>
      </w:pPr>
      <w:r>
        <w:rPr>
          <w:rFonts w:cs="Arial"/>
          <w:b/>
          <w:sz w:val="24"/>
          <w:szCs w:val="24"/>
        </w:rPr>
        <w:t>Strumento basato sulla pluriennale esperienza di TGW</w:t>
      </w:r>
    </w:p>
    <w:p w14:paraId="23B81BA7" w14:textId="77777777" w:rsidR="00E26207" w:rsidRPr="00314569" w:rsidRDefault="00E26207" w:rsidP="00B34DB2">
      <w:pPr>
        <w:spacing w:line="360" w:lineRule="auto"/>
        <w:ind w:left="0" w:right="1693"/>
        <w:rPr>
          <w:rFonts w:cs="Arial"/>
          <w:b/>
          <w:szCs w:val="20"/>
        </w:rPr>
      </w:pPr>
    </w:p>
    <w:p w14:paraId="15D187A4" w14:textId="34C99AFB" w:rsidR="00487C26" w:rsidRPr="00F15F99" w:rsidRDefault="00EF32D1" w:rsidP="008B7BC1">
      <w:pPr>
        <w:spacing w:line="360" w:lineRule="auto"/>
        <w:ind w:left="0" w:right="1693"/>
        <w:rPr>
          <w:rFonts w:cs="Arial"/>
          <w:b/>
          <w:szCs w:val="20"/>
        </w:rPr>
      </w:pPr>
      <w:r>
        <w:rPr>
          <w:rFonts w:cs="Arial"/>
          <w:b/>
          <w:szCs w:val="20"/>
        </w:rPr>
        <w:t xml:space="preserve">(Marchtrenk, </w:t>
      </w:r>
      <w:r w:rsidR="0074544E">
        <w:rPr>
          <w:rFonts w:cs="Arial"/>
          <w:b/>
          <w:szCs w:val="20"/>
        </w:rPr>
        <w:t>17</w:t>
      </w:r>
      <w:r>
        <w:rPr>
          <w:rFonts w:cs="Arial"/>
          <w:b/>
          <w:szCs w:val="20"/>
        </w:rPr>
        <w:t xml:space="preserve"> </w:t>
      </w:r>
      <w:proofErr w:type="spellStart"/>
      <w:r>
        <w:rPr>
          <w:rFonts w:cs="Arial"/>
          <w:b/>
          <w:szCs w:val="20"/>
        </w:rPr>
        <w:t>aprile</w:t>
      </w:r>
      <w:proofErr w:type="spellEnd"/>
      <w:r>
        <w:rPr>
          <w:rFonts w:cs="Arial"/>
          <w:b/>
          <w:szCs w:val="20"/>
        </w:rPr>
        <w:t xml:space="preserve"> 2023) TGW Logistics Group offre ai propri clienti nuovi e consolidati uno strumento innovativo di visualizzazione, con il quale è possibile ottimizzare ulteriormente le prestazioni degli impianti di intralogistica. La dashboard può essere implementata in pochi giorni e supporta nella rapida interpretazione dei dati nonché nell'applicazione di ottimizzazioni.</w:t>
      </w:r>
    </w:p>
    <w:p w14:paraId="30184882" w14:textId="77777777" w:rsidR="005939BF" w:rsidRPr="005E5FE4" w:rsidRDefault="005939BF" w:rsidP="00E21B14">
      <w:pPr>
        <w:spacing w:line="360" w:lineRule="auto"/>
        <w:ind w:left="0" w:right="1693"/>
        <w:rPr>
          <w:rFonts w:cs="Arial"/>
          <w:b/>
          <w:szCs w:val="20"/>
        </w:rPr>
      </w:pPr>
    </w:p>
    <w:p w14:paraId="2CE5382B" w14:textId="64F1ACCB" w:rsidR="00577081" w:rsidRDefault="001B4CD8" w:rsidP="00CC1EEE">
      <w:pPr>
        <w:spacing w:line="360" w:lineRule="auto"/>
        <w:ind w:left="0" w:right="1693"/>
        <w:rPr>
          <w:rFonts w:cs="Arial"/>
          <w:bCs/>
          <w:szCs w:val="20"/>
        </w:rPr>
      </w:pPr>
      <w:r>
        <w:rPr>
          <w:rFonts w:cs="Arial"/>
          <w:bCs/>
          <w:szCs w:val="20"/>
        </w:rPr>
        <w:t>Lo strumento di data analysis e reporting dashboard indica le prestazioni complessive di sistema di un impianto in pochi secondi. Con questa applicazione è possibile collegare tra loro ed elaborare graficamente i dati software di diversa provenienza: dal controllo, all'entrata merci, allo stoccaggio in magazzino fino allo smistamento e alla scansione.</w:t>
      </w:r>
    </w:p>
    <w:p w14:paraId="41BEB3EA" w14:textId="270BCB0F" w:rsidR="00577081" w:rsidRDefault="00577081" w:rsidP="00CC1EEE">
      <w:pPr>
        <w:spacing w:line="360" w:lineRule="auto"/>
        <w:ind w:left="0" w:right="1693"/>
        <w:rPr>
          <w:rFonts w:cs="Arial"/>
          <w:bCs/>
          <w:szCs w:val="20"/>
        </w:rPr>
      </w:pPr>
    </w:p>
    <w:p w14:paraId="0A79C9D5" w14:textId="30891416" w:rsidR="00577081" w:rsidRPr="00577081" w:rsidRDefault="00AA39CB" w:rsidP="00CC1EEE">
      <w:pPr>
        <w:spacing w:line="360" w:lineRule="auto"/>
        <w:ind w:left="0" w:right="1693"/>
        <w:rPr>
          <w:rFonts w:cs="Arial"/>
          <w:b/>
          <w:bCs/>
          <w:szCs w:val="20"/>
        </w:rPr>
      </w:pPr>
      <w:r>
        <w:rPr>
          <w:rFonts w:cs="Arial"/>
          <w:b/>
          <w:bCs/>
          <w:szCs w:val="20"/>
        </w:rPr>
        <w:t>Incremento delle prestazioni complessive di sistema</w:t>
      </w:r>
    </w:p>
    <w:p w14:paraId="0EF89759" w14:textId="77777777" w:rsidR="00577081" w:rsidRDefault="001B4CD8" w:rsidP="00CC1EEE">
      <w:pPr>
        <w:spacing w:line="360" w:lineRule="auto"/>
        <w:ind w:left="0" w:right="1693"/>
        <w:rPr>
          <w:rFonts w:cs="Arial"/>
          <w:bCs/>
          <w:szCs w:val="20"/>
        </w:rPr>
      </w:pPr>
      <w:r>
        <w:rPr>
          <w:rFonts w:cs="Arial"/>
          <w:bCs/>
          <w:szCs w:val="20"/>
        </w:rPr>
        <w:t xml:space="preserve"> </w:t>
      </w:r>
    </w:p>
    <w:p w14:paraId="2034AAA1" w14:textId="5A054AF7" w:rsidR="00E4000C" w:rsidRDefault="00E70FCC" w:rsidP="00CC1EEE">
      <w:pPr>
        <w:spacing w:line="360" w:lineRule="auto"/>
        <w:ind w:left="0" w:right="1693"/>
        <w:rPr>
          <w:rFonts w:cs="Arial"/>
          <w:bCs/>
          <w:szCs w:val="20"/>
        </w:rPr>
      </w:pPr>
      <w:r>
        <w:rPr>
          <w:rFonts w:cs="Arial"/>
          <w:bCs/>
          <w:szCs w:val="20"/>
        </w:rPr>
        <w:t>In questo modo possono essere identificati ed eliminati gli errori sulla base dei dati per incrementare le prestazioni dell'intero sistema. TGW offre innovazione in svariati ambiti. Gli specialisti dell'azienda leader per l'integrazione di sistemi sono generalmente in grado di inserire la dashboard in nuovi progetti entro pochi giorni. In impianti esistenti la messa in funzione necessita di un tempo leggermente più lungo a seconda della vetustà di hardware e software. Inoltre la dashboard è utilizzabile anche per centri di logistica non realizzati da TGW.</w:t>
      </w:r>
    </w:p>
    <w:p w14:paraId="124F3C00" w14:textId="77777777" w:rsidR="00E4000C" w:rsidRDefault="00E4000C" w:rsidP="00CC1EEE">
      <w:pPr>
        <w:spacing w:line="360" w:lineRule="auto"/>
        <w:ind w:left="0" w:right="1693"/>
        <w:rPr>
          <w:rFonts w:cs="Arial"/>
          <w:bCs/>
          <w:szCs w:val="20"/>
        </w:rPr>
      </w:pPr>
    </w:p>
    <w:p w14:paraId="06BA7A60" w14:textId="3B4D0921" w:rsidR="00465AAB" w:rsidRDefault="00B44EF8" w:rsidP="00CC1EEE">
      <w:pPr>
        <w:spacing w:line="360" w:lineRule="auto"/>
        <w:ind w:left="0" w:right="1693"/>
        <w:rPr>
          <w:rFonts w:cs="Arial"/>
          <w:bCs/>
          <w:szCs w:val="20"/>
        </w:rPr>
      </w:pPr>
      <w:r>
        <w:rPr>
          <w:rFonts w:cs="Arial"/>
          <w:bCs/>
          <w:szCs w:val="20"/>
        </w:rPr>
        <w:t xml:space="preserve">I clienti possono sfruttare molti vantaggi perché non devono impiegare risorse proprie per lo sviluppo e l'applicazione di uno strumento dedicato e inoltre possono fare affidamento sull'esperienza pluriennale degli esperti TGW. TGW utilizza internamente la dashboard già da tre anni e da ora la offre anche ai clienti. Per eventuali domande è inoltre disponibile il Remote Expert Support, 24 ore al </w:t>
      </w:r>
      <w:proofErr w:type="spellStart"/>
      <w:r>
        <w:rPr>
          <w:rFonts w:cs="Arial"/>
          <w:bCs/>
          <w:szCs w:val="20"/>
        </w:rPr>
        <w:t>giorno</w:t>
      </w:r>
      <w:proofErr w:type="spellEnd"/>
      <w:r>
        <w:rPr>
          <w:rFonts w:cs="Arial"/>
          <w:bCs/>
          <w:szCs w:val="20"/>
        </w:rPr>
        <w:t xml:space="preserve"> in 365 </w:t>
      </w:r>
      <w:proofErr w:type="spellStart"/>
      <w:r>
        <w:rPr>
          <w:rFonts w:cs="Arial"/>
          <w:bCs/>
          <w:szCs w:val="20"/>
        </w:rPr>
        <w:t>giorni</w:t>
      </w:r>
      <w:proofErr w:type="spellEnd"/>
      <w:r>
        <w:rPr>
          <w:rFonts w:cs="Arial"/>
          <w:bCs/>
          <w:szCs w:val="20"/>
        </w:rPr>
        <w:t xml:space="preserve"> </w:t>
      </w:r>
      <w:proofErr w:type="spellStart"/>
      <w:r>
        <w:rPr>
          <w:rFonts w:cs="Arial"/>
          <w:bCs/>
          <w:szCs w:val="20"/>
        </w:rPr>
        <w:t>all'anno</w:t>
      </w:r>
      <w:proofErr w:type="spellEnd"/>
      <w:r>
        <w:rPr>
          <w:rFonts w:cs="Arial"/>
          <w:bCs/>
          <w:szCs w:val="20"/>
        </w:rPr>
        <w:t>.</w:t>
      </w:r>
    </w:p>
    <w:p w14:paraId="15641194" w14:textId="77777777" w:rsidR="004C602C" w:rsidRDefault="004C602C" w:rsidP="00CC1EEE">
      <w:pPr>
        <w:spacing w:line="360" w:lineRule="auto"/>
        <w:ind w:left="0" w:right="1693"/>
        <w:rPr>
          <w:rFonts w:cs="Arial"/>
          <w:bCs/>
          <w:szCs w:val="20"/>
        </w:rPr>
      </w:pPr>
    </w:p>
    <w:p w14:paraId="02AA8536" w14:textId="4ADACA24" w:rsidR="00465AAB" w:rsidRPr="00465AAB" w:rsidRDefault="00314569" w:rsidP="00CC1EEE">
      <w:pPr>
        <w:spacing w:line="360" w:lineRule="auto"/>
        <w:ind w:left="0" w:right="1693"/>
        <w:rPr>
          <w:rFonts w:cs="Arial"/>
          <w:b/>
          <w:bCs/>
          <w:szCs w:val="20"/>
        </w:rPr>
      </w:pPr>
      <w:r>
        <w:rPr>
          <w:rFonts w:cs="Arial"/>
          <w:b/>
          <w:bCs/>
          <w:szCs w:val="20"/>
        </w:rPr>
        <w:lastRenderedPageBreak/>
        <w:t>Dati chiave</w:t>
      </w:r>
    </w:p>
    <w:p w14:paraId="5EA1D1B6" w14:textId="77777777" w:rsidR="00E4000C" w:rsidRDefault="00E4000C" w:rsidP="00CC1EEE">
      <w:pPr>
        <w:spacing w:line="360" w:lineRule="auto"/>
        <w:ind w:left="0" w:right="1693"/>
        <w:rPr>
          <w:rFonts w:cs="Arial"/>
          <w:bCs/>
          <w:szCs w:val="20"/>
        </w:rPr>
      </w:pPr>
    </w:p>
    <w:p w14:paraId="1EC6E079" w14:textId="7B5DBA75" w:rsidR="004551DA" w:rsidRDefault="004551DA" w:rsidP="00CC1EEE">
      <w:pPr>
        <w:spacing w:line="360" w:lineRule="auto"/>
        <w:ind w:left="0" w:right="1693"/>
        <w:rPr>
          <w:rFonts w:cs="Arial"/>
          <w:bCs/>
          <w:szCs w:val="20"/>
        </w:rPr>
      </w:pPr>
      <w:r>
        <w:rPr>
          <w:rFonts w:cs="Arial"/>
          <w:bCs/>
          <w:szCs w:val="20"/>
        </w:rPr>
        <w:t>"Quando i collaboratori pensano di potere ottimizzare gli impianti solo in base alle proprie sensazioni, spesso sbagliano. I sistemi di intralogistica ad alta automatizzazione, e quindi complessi, possono diventare veramente efficienti solo sulla base di dati concreti. Con il nostro strumento di data analysis e reporting dashboard preleviamo dati in numerosi punti di diversi sistemi. Grazie alla visualizzazione semplice e alla formazione apposita, gli utilizzatori sono in grado di fare leva su vari aspetti", sottolinea Georg Katzlinger-Söllradl, Director Global Lifetime Services presso TGW.</w:t>
      </w:r>
    </w:p>
    <w:p w14:paraId="0610E2B2" w14:textId="50D57558" w:rsidR="00E4000C" w:rsidRDefault="00E4000C" w:rsidP="00CC1EEE">
      <w:pPr>
        <w:spacing w:line="360" w:lineRule="auto"/>
        <w:ind w:left="0" w:right="1693"/>
        <w:rPr>
          <w:rFonts w:cs="Arial"/>
          <w:bCs/>
          <w:szCs w:val="20"/>
        </w:rPr>
      </w:pPr>
    </w:p>
    <w:p w14:paraId="28039107" w14:textId="2129F6E3" w:rsidR="00E4000C" w:rsidRDefault="00E4000C" w:rsidP="00CC1EEE">
      <w:pPr>
        <w:spacing w:line="360" w:lineRule="auto"/>
        <w:ind w:left="0" w:right="1693"/>
        <w:rPr>
          <w:rFonts w:cs="Arial"/>
          <w:bCs/>
          <w:szCs w:val="20"/>
        </w:rPr>
      </w:pPr>
      <w:r>
        <w:rPr>
          <w:rFonts w:cs="Arial"/>
          <w:bCs/>
          <w:szCs w:val="20"/>
        </w:rPr>
        <w:t>La dashboard è concepita in modo da potere rappresentare il flusso merci completo:</w:t>
      </w:r>
    </w:p>
    <w:p w14:paraId="1DB1AB9A" w14:textId="77777777" w:rsidR="00FD17B6" w:rsidRDefault="00FD17B6" w:rsidP="00CC1EEE">
      <w:pPr>
        <w:spacing w:line="360" w:lineRule="auto"/>
        <w:ind w:left="0" w:right="1693"/>
        <w:rPr>
          <w:rFonts w:cs="Arial"/>
          <w:bCs/>
          <w:szCs w:val="20"/>
        </w:rPr>
      </w:pPr>
    </w:p>
    <w:p w14:paraId="7E9AE476" w14:textId="37AC6A07" w:rsidR="00A25ED1" w:rsidRPr="00FD17B6" w:rsidRDefault="00A25ED1" w:rsidP="00A0773C">
      <w:pPr>
        <w:pStyle w:val="Listenabsatz"/>
        <w:numPr>
          <w:ilvl w:val="0"/>
          <w:numId w:val="24"/>
        </w:numPr>
        <w:spacing w:line="360" w:lineRule="auto"/>
        <w:ind w:right="1693"/>
        <w:jc w:val="left"/>
        <w:rPr>
          <w:rFonts w:cs="Arial"/>
          <w:bCs/>
          <w:szCs w:val="20"/>
        </w:rPr>
      </w:pPr>
      <w:r>
        <w:rPr>
          <w:rFonts w:cs="Arial"/>
          <w:b/>
          <w:szCs w:val="20"/>
        </w:rPr>
        <w:t>Decanting/receiving:</w:t>
      </w:r>
      <w:r>
        <w:rPr>
          <w:rFonts w:cs="Arial"/>
          <w:bCs/>
          <w:szCs w:val="20"/>
        </w:rPr>
        <w:t xml:space="preserve"> la dashboard visualizza i dati provenienti dall'entrata merci (pallet e imballaggi d'oltremare) e l'impacchettamento in contenitori o su vassoi.</w:t>
      </w:r>
    </w:p>
    <w:p w14:paraId="173B87DE" w14:textId="0ACA01FC" w:rsidR="00A25ED1" w:rsidRPr="00FD17B6" w:rsidRDefault="004A2AC3" w:rsidP="00A0773C">
      <w:pPr>
        <w:pStyle w:val="Listenabsatz"/>
        <w:numPr>
          <w:ilvl w:val="0"/>
          <w:numId w:val="24"/>
        </w:numPr>
        <w:spacing w:line="360" w:lineRule="auto"/>
        <w:ind w:right="1693"/>
        <w:jc w:val="left"/>
        <w:rPr>
          <w:rFonts w:cs="Arial"/>
          <w:bCs/>
          <w:szCs w:val="20"/>
        </w:rPr>
      </w:pPr>
      <w:r>
        <w:rPr>
          <w:rFonts w:cs="Arial"/>
          <w:b/>
          <w:szCs w:val="20"/>
        </w:rPr>
        <w:t>Trasloelevatori/shuttle:</w:t>
      </w:r>
      <w:r>
        <w:rPr>
          <w:rFonts w:cs="Arial"/>
          <w:bCs/>
          <w:szCs w:val="20"/>
        </w:rPr>
        <w:t xml:space="preserve"> la capacità di entrata e uscita dal magazzino, così come il potenziale libero di trasloelevatori, shuttle, ecc. sono raffigurati graficamente.</w:t>
      </w:r>
    </w:p>
    <w:p w14:paraId="395E18E1" w14:textId="1F88D032" w:rsidR="00A25ED1" w:rsidRPr="00FD17B6" w:rsidRDefault="00B26153" w:rsidP="00A0773C">
      <w:pPr>
        <w:pStyle w:val="Listenabsatz"/>
        <w:numPr>
          <w:ilvl w:val="0"/>
          <w:numId w:val="24"/>
        </w:numPr>
        <w:spacing w:line="360" w:lineRule="auto"/>
        <w:ind w:right="1693"/>
        <w:jc w:val="left"/>
        <w:rPr>
          <w:rFonts w:cs="Arial"/>
          <w:bCs/>
          <w:szCs w:val="20"/>
        </w:rPr>
      </w:pPr>
      <w:r>
        <w:rPr>
          <w:rFonts w:cs="Arial"/>
          <w:b/>
          <w:szCs w:val="20"/>
        </w:rPr>
        <w:t>Workstation:</w:t>
      </w:r>
      <w:r>
        <w:rPr>
          <w:rFonts w:cs="Arial"/>
          <w:bCs/>
          <w:szCs w:val="20"/>
        </w:rPr>
        <w:t xml:space="preserve"> oltre alle aree di lavoro attive, la dashboard visualizza anche i tassi di prelievo. Così è possibile reagire immediatamente e attuare misure correttive in caso di strutture di ordini sfavorevoli o di imballaggi problematici.</w:t>
      </w:r>
    </w:p>
    <w:p w14:paraId="69ED51D1" w14:textId="78937A54" w:rsidR="00A25ED1" w:rsidRPr="00FD17B6" w:rsidRDefault="00A0773C" w:rsidP="00A0773C">
      <w:pPr>
        <w:pStyle w:val="Listenabsatz"/>
        <w:numPr>
          <w:ilvl w:val="0"/>
          <w:numId w:val="24"/>
        </w:numPr>
        <w:spacing w:line="360" w:lineRule="auto"/>
        <w:ind w:right="1693"/>
        <w:jc w:val="left"/>
        <w:rPr>
          <w:rFonts w:cs="Arial"/>
          <w:bCs/>
          <w:szCs w:val="20"/>
        </w:rPr>
      </w:pPr>
      <w:r>
        <w:rPr>
          <w:rFonts w:cs="Arial"/>
          <w:b/>
          <w:szCs w:val="20"/>
        </w:rPr>
        <w:t>Value-Added Services (VAS):</w:t>
      </w:r>
      <w:r>
        <w:rPr>
          <w:rFonts w:cs="Arial"/>
          <w:bCs/>
          <w:szCs w:val="20"/>
        </w:rPr>
        <w:t xml:space="preserve"> la dashboard indica le prestazioni nell'ambito delle attività di servizio con valore aggiunto.</w:t>
      </w:r>
    </w:p>
    <w:p w14:paraId="4911C1CB" w14:textId="35B3D5C6" w:rsidR="00A25ED1" w:rsidRPr="000A605B" w:rsidRDefault="00A25ED1" w:rsidP="00A0773C">
      <w:pPr>
        <w:pStyle w:val="Listenabsatz"/>
        <w:numPr>
          <w:ilvl w:val="0"/>
          <w:numId w:val="24"/>
        </w:numPr>
        <w:spacing w:line="360" w:lineRule="auto"/>
        <w:ind w:right="1693"/>
        <w:jc w:val="left"/>
        <w:rPr>
          <w:rFonts w:cs="Arial"/>
          <w:szCs w:val="20"/>
        </w:rPr>
      </w:pPr>
      <w:r>
        <w:rPr>
          <w:rFonts w:cs="Arial"/>
          <w:b/>
          <w:szCs w:val="20"/>
        </w:rPr>
        <w:t>Etichettatori/smistatori/scanner:</w:t>
      </w:r>
      <w:r>
        <w:rPr>
          <w:rFonts w:cs="Arial"/>
          <w:bCs/>
          <w:szCs w:val="20"/>
        </w:rPr>
        <w:t xml:space="preserve"> gli utilizzatori vedono a colpo d'occhio le prestazioni dei singoli componenti.</w:t>
      </w:r>
    </w:p>
    <w:p w14:paraId="4C1598D3" w14:textId="440220B4" w:rsidR="00314569" w:rsidRPr="000A605B" w:rsidRDefault="00A25ED1" w:rsidP="00A0773C">
      <w:pPr>
        <w:pStyle w:val="Listenabsatz"/>
        <w:numPr>
          <w:ilvl w:val="0"/>
          <w:numId w:val="24"/>
        </w:numPr>
        <w:spacing w:line="360" w:lineRule="auto"/>
        <w:ind w:right="1693"/>
        <w:jc w:val="left"/>
        <w:rPr>
          <w:rFonts w:cs="Arial"/>
          <w:szCs w:val="20"/>
        </w:rPr>
      </w:pPr>
      <w:r>
        <w:rPr>
          <w:rFonts w:cs="Arial"/>
          <w:b/>
          <w:szCs w:val="20"/>
        </w:rPr>
        <w:t xml:space="preserve">Reject items: </w:t>
      </w:r>
      <w:r>
        <w:rPr>
          <w:rFonts w:cs="Arial"/>
          <w:bCs/>
          <w:szCs w:val="20"/>
        </w:rPr>
        <w:t>i contenitori espulsi dal sistema comportano un maggiore lavoro manuale. Il tracking preciso del supporto di carico per un'analisi strutturata consente di risparmiare costi amministrativi.</w:t>
      </w:r>
    </w:p>
    <w:p w14:paraId="20AD8058" w14:textId="54995F83" w:rsidR="00314569" w:rsidRDefault="00314569" w:rsidP="00314569">
      <w:pPr>
        <w:spacing w:line="360" w:lineRule="auto"/>
        <w:ind w:left="0" w:right="1693"/>
        <w:rPr>
          <w:rFonts w:cs="Arial"/>
          <w:b/>
          <w:szCs w:val="20"/>
        </w:rPr>
      </w:pPr>
    </w:p>
    <w:p w14:paraId="1AF216EF" w14:textId="78660D58" w:rsidR="00314569" w:rsidRDefault="00314569" w:rsidP="00314569">
      <w:pPr>
        <w:spacing w:line="360" w:lineRule="auto"/>
        <w:ind w:left="0" w:right="1693"/>
        <w:rPr>
          <w:rFonts w:cs="Arial"/>
          <w:b/>
          <w:szCs w:val="20"/>
        </w:rPr>
      </w:pPr>
    </w:p>
    <w:p w14:paraId="7E1AEB91" w14:textId="77777777" w:rsidR="00314569" w:rsidRDefault="00314569" w:rsidP="00314569">
      <w:pPr>
        <w:spacing w:line="360" w:lineRule="auto"/>
        <w:ind w:left="0" w:right="1693"/>
        <w:rPr>
          <w:rFonts w:cs="Arial"/>
          <w:b/>
          <w:szCs w:val="20"/>
        </w:rPr>
      </w:pPr>
    </w:p>
    <w:p w14:paraId="0F527044" w14:textId="46622891" w:rsidR="00314569" w:rsidRPr="00314569" w:rsidRDefault="0074544E" w:rsidP="00314569">
      <w:pPr>
        <w:spacing w:line="360" w:lineRule="auto"/>
        <w:ind w:left="0" w:right="1693"/>
        <w:rPr>
          <w:rFonts w:cs="Arial"/>
          <w:szCs w:val="20"/>
        </w:rPr>
      </w:pPr>
      <w:hyperlink r:id="rId11" w:history="1">
        <w:r w:rsidR="00FF0D51">
          <w:rPr>
            <w:rStyle w:val="Hyperlink"/>
            <w:rFonts w:cs="Arial"/>
            <w:szCs w:val="20"/>
          </w:rPr>
          <w:t>www.tgw-group.com</w:t>
        </w:r>
      </w:hyperlink>
    </w:p>
    <w:p w14:paraId="0F519118" w14:textId="6AD7DCF1" w:rsidR="0089485A" w:rsidRPr="00314569" w:rsidRDefault="0089485A" w:rsidP="00314569">
      <w:pPr>
        <w:spacing w:line="360" w:lineRule="auto"/>
        <w:ind w:left="0" w:right="1693"/>
        <w:rPr>
          <w:rFonts w:cs="Arial"/>
          <w:b/>
          <w:szCs w:val="20"/>
        </w:rPr>
      </w:pPr>
    </w:p>
    <w:p w14:paraId="4E577D69" w14:textId="6B8A83AC" w:rsidR="00675258" w:rsidRDefault="00675258" w:rsidP="004356E7">
      <w:pPr>
        <w:pStyle w:val="Listenabsatz"/>
        <w:spacing w:line="360" w:lineRule="auto"/>
        <w:ind w:right="1693"/>
        <w:rPr>
          <w:rFonts w:cs="Arial"/>
          <w:b/>
          <w:szCs w:val="20"/>
        </w:rPr>
      </w:pPr>
    </w:p>
    <w:p w14:paraId="3BEA4111" w14:textId="7E57B931" w:rsidR="00F46145" w:rsidRDefault="00F46145" w:rsidP="004356E7">
      <w:pPr>
        <w:pStyle w:val="Listenabsatz"/>
        <w:spacing w:line="360" w:lineRule="auto"/>
        <w:ind w:right="1693"/>
        <w:rPr>
          <w:rFonts w:cs="Arial"/>
          <w:b/>
          <w:szCs w:val="20"/>
        </w:rPr>
      </w:pPr>
    </w:p>
    <w:p w14:paraId="06688058" w14:textId="77777777" w:rsidR="004544D4" w:rsidRDefault="004544D4" w:rsidP="004356E7">
      <w:pPr>
        <w:pStyle w:val="Listenabsatz"/>
        <w:spacing w:line="360" w:lineRule="auto"/>
        <w:ind w:right="1693"/>
        <w:rPr>
          <w:rFonts w:cs="Arial"/>
          <w:b/>
          <w:szCs w:val="20"/>
        </w:rPr>
      </w:pPr>
    </w:p>
    <w:p w14:paraId="22FE876B" w14:textId="5C0928A9" w:rsidR="00314569" w:rsidRDefault="00314569" w:rsidP="004356E7">
      <w:pPr>
        <w:pStyle w:val="Listenabsatz"/>
        <w:spacing w:line="360" w:lineRule="auto"/>
        <w:ind w:right="1693"/>
        <w:rPr>
          <w:rFonts w:cs="Arial"/>
          <w:b/>
          <w:szCs w:val="20"/>
        </w:rPr>
      </w:pPr>
    </w:p>
    <w:p w14:paraId="4FCF5DA5" w14:textId="1DCA6A44" w:rsidR="00314569" w:rsidRDefault="00314569" w:rsidP="004356E7">
      <w:pPr>
        <w:pStyle w:val="Listenabsatz"/>
        <w:spacing w:line="360" w:lineRule="auto"/>
        <w:ind w:right="1693"/>
        <w:rPr>
          <w:rFonts w:cs="Arial"/>
          <w:b/>
          <w:szCs w:val="20"/>
        </w:rPr>
      </w:pPr>
    </w:p>
    <w:p w14:paraId="795B6234" w14:textId="77777777" w:rsidR="004C602C" w:rsidRPr="00C71222" w:rsidRDefault="004C602C" w:rsidP="004356E7">
      <w:pPr>
        <w:pStyle w:val="Listenabsatz"/>
        <w:spacing w:line="360" w:lineRule="auto"/>
        <w:ind w:right="1693"/>
        <w:rPr>
          <w:rFonts w:cs="Arial"/>
          <w:b/>
          <w:szCs w:val="20"/>
        </w:rPr>
      </w:pPr>
    </w:p>
    <w:p w14:paraId="417AAD62" w14:textId="77777777" w:rsidR="00BC7952" w:rsidRPr="00FB100C" w:rsidRDefault="00BC7952" w:rsidP="00BC7952">
      <w:pPr>
        <w:spacing w:line="240" w:lineRule="auto"/>
        <w:ind w:left="0" w:right="1693"/>
        <w:rPr>
          <w:rStyle w:val="Hyperlink"/>
          <w:b/>
          <w:color w:val="auto"/>
          <w:u w:val="none"/>
        </w:rPr>
      </w:pPr>
      <w:r>
        <w:rPr>
          <w:rStyle w:val="Hyperlink"/>
          <w:b/>
          <w:color w:val="auto"/>
          <w:u w:val="none"/>
        </w:rPr>
        <w:lastRenderedPageBreak/>
        <w:t>Informazioni sul TGW Logistics Group</w:t>
      </w:r>
    </w:p>
    <w:p w14:paraId="1A5A4F56"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14:paraId="15A25BB4" w14:textId="77777777" w:rsidR="00BC7952" w:rsidRPr="00D1043D" w:rsidRDefault="00BC7952" w:rsidP="00BC7952">
      <w:pPr>
        <w:spacing w:line="240" w:lineRule="auto"/>
        <w:ind w:left="0" w:right="1693"/>
        <w:rPr>
          <w:rStyle w:val="Hyperlink"/>
          <w:color w:val="auto"/>
          <w:u w:val="none"/>
        </w:rPr>
      </w:pPr>
    </w:p>
    <w:p w14:paraId="10A4CA7B" w14:textId="559025F5" w:rsidR="00BC7952" w:rsidRPr="00D1043D" w:rsidRDefault="00BC7952" w:rsidP="00BC7952">
      <w:pPr>
        <w:spacing w:line="240" w:lineRule="auto"/>
        <w:ind w:left="0" w:right="1693"/>
        <w:rPr>
          <w:rStyle w:val="Hyperlink"/>
          <w:color w:val="auto"/>
          <w:u w:val="none"/>
        </w:rPr>
      </w:pPr>
      <w:r>
        <w:rPr>
          <w:rStyle w:val="Hyperlink"/>
          <w:color w:val="auto"/>
          <w:u w:val="none"/>
        </w:rPr>
        <w:t>Il gruppo TGW Logistics Group ha filiali in Europa, Cina e USA e può contare su oltre 4.400 collaboratori in tutto il mondo. Nell'esercizio fiscale 2021/2022 l'azienda ha ottenuto un fatturato complessivo di 924 milioni di euro.</w:t>
      </w:r>
    </w:p>
    <w:p w14:paraId="1CF88C1B" w14:textId="77777777" w:rsidR="00BC7952" w:rsidRPr="00D1043D" w:rsidRDefault="00BC7952" w:rsidP="00BC7952">
      <w:pPr>
        <w:spacing w:line="240" w:lineRule="auto"/>
        <w:ind w:left="0" w:right="1693"/>
        <w:rPr>
          <w:rStyle w:val="Hyperlink"/>
          <w:color w:val="auto"/>
          <w:u w:val="none"/>
        </w:rPr>
      </w:pPr>
    </w:p>
    <w:p w14:paraId="06239CDD" w14:textId="77777777" w:rsidR="00BC7952" w:rsidRPr="00D1043D" w:rsidRDefault="00BC7952" w:rsidP="00BC7952">
      <w:pPr>
        <w:spacing w:line="240" w:lineRule="auto"/>
        <w:ind w:left="0" w:right="1693"/>
        <w:rPr>
          <w:rStyle w:val="Hyperlink"/>
          <w:color w:val="auto"/>
          <w:u w:val="none"/>
        </w:rPr>
      </w:pPr>
    </w:p>
    <w:p w14:paraId="1F456E7A" w14:textId="77777777" w:rsidR="00BC7952" w:rsidRPr="00D1043D" w:rsidRDefault="00BC7952" w:rsidP="00BC7952">
      <w:pPr>
        <w:spacing w:line="240" w:lineRule="auto"/>
        <w:ind w:left="0" w:right="1693"/>
        <w:rPr>
          <w:rStyle w:val="Hyperlink"/>
          <w:color w:val="auto"/>
          <w:u w:val="none"/>
        </w:rPr>
      </w:pPr>
    </w:p>
    <w:p w14:paraId="45AC0DE5"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Fotografie</w:t>
      </w:r>
    </w:p>
    <w:p w14:paraId="749DE048" w14:textId="77777777" w:rsidR="00BC7952" w:rsidRPr="00D1043D" w:rsidRDefault="00BC7952" w:rsidP="00BC7952">
      <w:pPr>
        <w:spacing w:line="240" w:lineRule="auto"/>
        <w:ind w:left="0" w:right="1693"/>
        <w:rPr>
          <w:rStyle w:val="Hyperlink"/>
          <w:color w:val="auto"/>
          <w:u w:val="none"/>
        </w:rPr>
      </w:pPr>
      <w:r>
        <w:rPr>
          <w:rStyle w:val="Hyperlink"/>
          <w:color w:val="auto"/>
          <w:u w:val="none"/>
        </w:rPr>
        <w:t>È permessa la pubblicazione gratuita fornendo l'indicazione della fonte e per i comunicati stampa che hanno come oggetto principalmente il TGW Logistics Group GmbH.  La pubblicazione a scopi pubblicitari non è gratuita.</w:t>
      </w:r>
    </w:p>
    <w:p w14:paraId="67B21F0B" w14:textId="77777777" w:rsidR="00BC7952" w:rsidRPr="00D1043D" w:rsidRDefault="00BC7952" w:rsidP="00BC7952">
      <w:pPr>
        <w:spacing w:line="240" w:lineRule="auto"/>
        <w:ind w:left="0" w:right="1693"/>
        <w:rPr>
          <w:rStyle w:val="Hyperlink"/>
          <w:color w:val="auto"/>
          <w:u w:val="none"/>
        </w:rPr>
      </w:pPr>
    </w:p>
    <w:p w14:paraId="375DD09F" w14:textId="77777777" w:rsidR="00BC7952" w:rsidRPr="00D1043D" w:rsidRDefault="00BC7952" w:rsidP="00BC7952">
      <w:pPr>
        <w:spacing w:line="240" w:lineRule="auto"/>
        <w:ind w:left="0" w:right="1693"/>
        <w:rPr>
          <w:rStyle w:val="Hyperlink"/>
          <w:color w:val="auto"/>
          <w:u w:val="none"/>
        </w:rPr>
      </w:pPr>
    </w:p>
    <w:p w14:paraId="2519459F"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Contatti:</w:t>
      </w:r>
    </w:p>
    <w:p w14:paraId="5590A0C7"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874DF17"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w:t>
      </w:r>
      <w:bookmarkStart w:id="0" w:name="_GoBack"/>
      <w:bookmarkEnd w:id="0"/>
      <w:r>
        <w:rPr>
          <w:rStyle w:val="Hyperlink"/>
          <w:color w:val="auto"/>
          <w:u w:val="none"/>
        </w:rPr>
        <w:t>zinicz Straße 3</w:t>
      </w:r>
    </w:p>
    <w:p w14:paraId="269F454E" w14:textId="77777777" w:rsidR="00BC7952" w:rsidRPr="00D1043D" w:rsidRDefault="00BC7952" w:rsidP="00BC7952">
      <w:pPr>
        <w:spacing w:line="240" w:lineRule="auto"/>
        <w:ind w:left="0" w:right="1693"/>
        <w:rPr>
          <w:rStyle w:val="Hyperlink"/>
          <w:color w:val="auto"/>
          <w:u w:val="none"/>
        </w:rPr>
      </w:pPr>
      <w:r>
        <w:rPr>
          <w:rStyle w:val="Hyperlink"/>
          <w:color w:val="auto"/>
          <w:u w:val="none"/>
        </w:rPr>
        <w:t>Tel: +43.(0)50.486-0</w:t>
      </w:r>
    </w:p>
    <w:p w14:paraId="473293E8" w14:textId="77777777" w:rsidR="00BC7952" w:rsidRPr="00D1043D" w:rsidRDefault="00BC7952" w:rsidP="00BC7952">
      <w:pPr>
        <w:spacing w:line="240" w:lineRule="auto"/>
        <w:ind w:left="0" w:right="1693"/>
        <w:rPr>
          <w:rStyle w:val="Hyperlink"/>
          <w:color w:val="auto"/>
          <w:u w:val="none"/>
        </w:rPr>
      </w:pPr>
      <w:r>
        <w:rPr>
          <w:rStyle w:val="Hyperlink"/>
          <w:color w:val="auto"/>
          <w:u w:val="none"/>
        </w:rPr>
        <w:t>Fax: +43.(0)50.486-31</w:t>
      </w:r>
    </w:p>
    <w:p w14:paraId="7A610B90" w14:textId="77777777"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14:paraId="78057CCF" w14:textId="77777777" w:rsidR="00BC7952" w:rsidRDefault="00BC7952" w:rsidP="00BC7952">
      <w:pPr>
        <w:spacing w:line="240" w:lineRule="auto"/>
        <w:ind w:left="0" w:right="1693"/>
        <w:rPr>
          <w:rStyle w:val="Hyperlink"/>
          <w:color w:val="auto"/>
          <w:u w:val="none"/>
        </w:rPr>
      </w:pPr>
    </w:p>
    <w:p w14:paraId="059207D1" w14:textId="77777777" w:rsidR="00F92A0D" w:rsidRDefault="00F92A0D" w:rsidP="00BC7952">
      <w:pPr>
        <w:spacing w:line="240" w:lineRule="auto"/>
        <w:ind w:left="0" w:right="1693"/>
        <w:rPr>
          <w:rStyle w:val="Hyperlink"/>
          <w:color w:val="auto"/>
          <w:u w:val="none"/>
        </w:rPr>
      </w:pPr>
    </w:p>
    <w:p w14:paraId="4E427EB8" w14:textId="77777777" w:rsidR="00F92A0D" w:rsidRDefault="00F92A0D" w:rsidP="00BC7952">
      <w:pPr>
        <w:spacing w:line="240" w:lineRule="auto"/>
        <w:ind w:left="0" w:right="1693"/>
        <w:rPr>
          <w:rStyle w:val="Hyperlink"/>
          <w:color w:val="auto"/>
          <w:u w:val="none"/>
          <w:lang w:val="en-AU"/>
        </w:rPr>
      </w:pPr>
      <w:r>
        <w:rPr>
          <w:rStyle w:val="Hyperlink"/>
          <w:color w:val="auto"/>
          <w:u w:val="none"/>
        </w:rPr>
        <w:t>Contatto stampa:</w:t>
      </w:r>
    </w:p>
    <w:p w14:paraId="68042F9C"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03A35A8D"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2CD595C3"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Tel: +43.(0)50.486-2267</w:t>
      </w:r>
    </w:p>
    <w:p w14:paraId="18DF18B5"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Cell.: +43.(0)664.88459713</w:t>
      </w:r>
    </w:p>
    <w:p w14:paraId="4F06652C" w14:textId="09798FB6" w:rsidR="006231AE" w:rsidRPr="004C602C" w:rsidRDefault="00BC7952" w:rsidP="004C602C">
      <w:pPr>
        <w:spacing w:line="240" w:lineRule="auto"/>
        <w:ind w:left="0" w:right="1693"/>
        <w:rPr>
          <w:lang w:val="en-AU"/>
        </w:rPr>
      </w:pPr>
      <w:r>
        <w:rPr>
          <w:rStyle w:val="Hyperlink"/>
          <w:color w:val="auto"/>
          <w:u w:val="none"/>
        </w:rPr>
        <w:t>alexander.tahedl@tgw-group.com</w:t>
      </w:r>
    </w:p>
    <w:sectPr w:rsidR="006231AE" w:rsidRPr="004C602C"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E0059" w14:textId="77777777" w:rsidR="00700F1A" w:rsidRDefault="00700F1A" w:rsidP="00764006">
      <w:pPr>
        <w:spacing w:line="240" w:lineRule="auto"/>
      </w:pPr>
      <w:r>
        <w:separator/>
      </w:r>
    </w:p>
  </w:endnote>
  <w:endnote w:type="continuationSeparator" w:id="0">
    <w:p w14:paraId="55A1F588" w14:textId="77777777" w:rsidR="00700F1A" w:rsidRDefault="00700F1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26F77CAF" w14:textId="77777777" w:rsidTr="00A345ED">
      <w:tc>
        <w:tcPr>
          <w:tcW w:w="6474" w:type="dxa"/>
        </w:tcPr>
        <w:p w14:paraId="77BF932F"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0B7E59C7"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0946E9C2" w14:textId="77777777" w:rsidR="00B72812" w:rsidRPr="00C424EA" w:rsidRDefault="00B72812" w:rsidP="00C424EA">
          <w:pPr>
            <w:pStyle w:val="Fuzeile"/>
            <w:rPr>
              <w:sz w:val="16"/>
              <w:szCs w:val="16"/>
            </w:rPr>
          </w:pPr>
        </w:p>
      </w:tc>
      <w:tc>
        <w:tcPr>
          <w:tcW w:w="2438" w:type="dxa"/>
          <w:vAlign w:val="center"/>
        </w:tcPr>
        <w:p w14:paraId="00826F61" w14:textId="6A79CA54"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74544E">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74544E">
            <w:rPr>
              <w:noProof/>
              <w:sz w:val="16"/>
              <w:szCs w:val="16"/>
            </w:rPr>
            <w:t>3</w:t>
          </w:r>
          <w:r>
            <w:fldChar w:fldCharType="end"/>
          </w:r>
        </w:p>
      </w:tc>
    </w:tr>
  </w:tbl>
  <w:p w14:paraId="7F771200"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BC8C0" w14:textId="77777777" w:rsidR="00700F1A" w:rsidRDefault="00700F1A" w:rsidP="00764006">
      <w:pPr>
        <w:spacing w:line="240" w:lineRule="auto"/>
      </w:pPr>
      <w:r>
        <w:separator/>
      </w:r>
    </w:p>
  </w:footnote>
  <w:footnote w:type="continuationSeparator" w:id="0">
    <w:p w14:paraId="363EEDF0" w14:textId="77777777" w:rsidR="00700F1A" w:rsidRDefault="00700F1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0F10" w14:textId="77777777" w:rsidR="00B72812" w:rsidRDefault="00B72812" w:rsidP="00C54F6A">
    <w:pPr>
      <w:pStyle w:val="Dokumententitel"/>
    </w:pPr>
  </w:p>
  <w:p w14:paraId="767BA1CA" w14:textId="77777777" w:rsidR="00B72812" w:rsidRPr="00C15D91" w:rsidRDefault="00B72812" w:rsidP="00C54F6A">
    <w:pPr>
      <w:pStyle w:val="Dokumententitel"/>
    </w:pPr>
    <w:r>
      <w:drawing>
        <wp:anchor distT="0" distB="0" distL="114300" distR="114300" simplePos="0" relativeHeight="251659264" behindDoc="0" locked="0" layoutInCell="1" allowOverlap="1" wp14:anchorId="114A6267" wp14:editId="6DADB92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14:paraId="7FFABF6F"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41410A"/>
    <w:multiLevelType w:val="hybridMultilevel"/>
    <w:tmpl w:val="9D9A910C"/>
    <w:lvl w:ilvl="0" w:tplc="22C2CA7E">
      <w:start w:val="1"/>
      <w:numFmt w:val="decimal"/>
      <w:lvlText w:val="%1."/>
      <w:lvlJc w:val="left"/>
      <w:pPr>
        <w:ind w:left="72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73F37A7"/>
    <w:multiLevelType w:val="hybridMultilevel"/>
    <w:tmpl w:val="7BC84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8"/>
  </w:num>
  <w:num w:numId="5">
    <w:abstractNumId w:val="20"/>
  </w:num>
  <w:num w:numId="6">
    <w:abstractNumId w:val="4"/>
  </w:num>
  <w:num w:numId="7">
    <w:abstractNumId w:val="1"/>
  </w:num>
  <w:num w:numId="8">
    <w:abstractNumId w:val="16"/>
  </w:num>
  <w:num w:numId="9">
    <w:abstractNumId w:val="6"/>
  </w:num>
  <w:num w:numId="10">
    <w:abstractNumId w:val="22"/>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9"/>
  </w:num>
  <w:num w:numId="21">
    <w:abstractNumId w:val="12"/>
  </w:num>
  <w:num w:numId="22">
    <w:abstractNumId w:val="23"/>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1BDB"/>
    <w:rsid w:val="00064A27"/>
    <w:rsid w:val="00064F2D"/>
    <w:rsid w:val="000662F5"/>
    <w:rsid w:val="00066599"/>
    <w:rsid w:val="0006731A"/>
    <w:rsid w:val="00067ABB"/>
    <w:rsid w:val="00071B58"/>
    <w:rsid w:val="0007431B"/>
    <w:rsid w:val="00074502"/>
    <w:rsid w:val="00074923"/>
    <w:rsid w:val="00076C37"/>
    <w:rsid w:val="000809E8"/>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46E2"/>
    <w:rsid w:val="000A579F"/>
    <w:rsid w:val="000A5D32"/>
    <w:rsid w:val="000A605B"/>
    <w:rsid w:val="000A6CE7"/>
    <w:rsid w:val="000A6FF9"/>
    <w:rsid w:val="000A77BB"/>
    <w:rsid w:val="000B2B18"/>
    <w:rsid w:val="000B4185"/>
    <w:rsid w:val="000B5A93"/>
    <w:rsid w:val="000B5C66"/>
    <w:rsid w:val="000B6542"/>
    <w:rsid w:val="000B65C7"/>
    <w:rsid w:val="000B65E5"/>
    <w:rsid w:val="000B74A6"/>
    <w:rsid w:val="000B74E7"/>
    <w:rsid w:val="000B7FAB"/>
    <w:rsid w:val="000C14A0"/>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701"/>
    <w:rsid w:val="000E1D04"/>
    <w:rsid w:val="000E1D58"/>
    <w:rsid w:val="000E20AF"/>
    <w:rsid w:val="000E2AD9"/>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113B7"/>
    <w:rsid w:val="001119B7"/>
    <w:rsid w:val="00111A67"/>
    <w:rsid w:val="001136BD"/>
    <w:rsid w:val="00113DEF"/>
    <w:rsid w:val="0011473E"/>
    <w:rsid w:val="00114EE0"/>
    <w:rsid w:val="00116B32"/>
    <w:rsid w:val="00117330"/>
    <w:rsid w:val="0012094E"/>
    <w:rsid w:val="00120955"/>
    <w:rsid w:val="001230A6"/>
    <w:rsid w:val="00125FEB"/>
    <w:rsid w:val="0012627D"/>
    <w:rsid w:val="00126DA1"/>
    <w:rsid w:val="00127ECE"/>
    <w:rsid w:val="001305E8"/>
    <w:rsid w:val="00130D09"/>
    <w:rsid w:val="00131A55"/>
    <w:rsid w:val="001336DF"/>
    <w:rsid w:val="0013383F"/>
    <w:rsid w:val="001338DB"/>
    <w:rsid w:val="00134AF1"/>
    <w:rsid w:val="001404D7"/>
    <w:rsid w:val="00140DF0"/>
    <w:rsid w:val="00141099"/>
    <w:rsid w:val="00142015"/>
    <w:rsid w:val="00142599"/>
    <w:rsid w:val="001429F4"/>
    <w:rsid w:val="00142C72"/>
    <w:rsid w:val="00142D0C"/>
    <w:rsid w:val="00144E88"/>
    <w:rsid w:val="00147C5F"/>
    <w:rsid w:val="0015180E"/>
    <w:rsid w:val="00151FD8"/>
    <w:rsid w:val="00152760"/>
    <w:rsid w:val="00152A09"/>
    <w:rsid w:val="00153C82"/>
    <w:rsid w:val="00153D8F"/>
    <w:rsid w:val="00154627"/>
    <w:rsid w:val="00155AE9"/>
    <w:rsid w:val="00155DB3"/>
    <w:rsid w:val="00157367"/>
    <w:rsid w:val="00157D30"/>
    <w:rsid w:val="00162ADF"/>
    <w:rsid w:val="00162D14"/>
    <w:rsid w:val="00162FE9"/>
    <w:rsid w:val="001635F5"/>
    <w:rsid w:val="001651A2"/>
    <w:rsid w:val="00165945"/>
    <w:rsid w:val="00165988"/>
    <w:rsid w:val="00165EB0"/>
    <w:rsid w:val="001671D5"/>
    <w:rsid w:val="0016742A"/>
    <w:rsid w:val="001702C8"/>
    <w:rsid w:val="0017041B"/>
    <w:rsid w:val="00170529"/>
    <w:rsid w:val="00170957"/>
    <w:rsid w:val="00170E3F"/>
    <w:rsid w:val="001713BB"/>
    <w:rsid w:val="001744EA"/>
    <w:rsid w:val="001754C6"/>
    <w:rsid w:val="001806F8"/>
    <w:rsid w:val="00180B8A"/>
    <w:rsid w:val="00180E49"/>
    <w:rsid w:val="001823FD"/>
    <w:rsid w:val="00182747"/>
    <w:rsid w:val="00183067"/>
    <w:rsid w:val="001832C9"/>
    <w:rsid w:val="00184021"/>
    <w:rsid w:val="0018476A"/>
    <w:rsid w:val="00184C9A"/>
    <w:rsid w:val="00185240"/>
    <w:rsid w:val="00185895"/>
    <w:rsid w:val="001858FA"/>
    <w:rsid w:val="00185AD7"/>
    <w:rsid w:val="00185FCF"/>
    <w:rsid w:val="001866FC"/>
    <w:rsid w:val="00186DCA"/>
    <w:rsid w:val="001877D6"/>
    <w:rsid w:val="001900F5"/>
    <w:rsid w:val="001905C1"/>
    <w:rsid w:val="0019186D"/>
    <w:rsid w:val="00191D7D"/>
    <w:rsid w:val="00192F99"/>
    <w:rsid w:val="0019426A"/>
    <w:rsid w:val="00194327"/>
    <w:rsid w:val="00194BC4"/>
    <w:rsid w:val="00195591"/>
    <w:rsid w:val="00195BA1"/>
    <w:rsid w:val="00197269"/>
    <w:rsid w:val="001A0128"/>
    <w:rsid w:val="001A12C6"/>
    <w:rsid w:val="001A2DCB"/>
    <w:rsid w:val="001A33BD"/>
    <w:rsid w:val="001A4166"/>
    <w:rsid w:val="001A58D9"/>
    <w:rsid w:val="001A6800"/>
    <w:rsid w:val="001A6E46"/>
    <w:rsid w:val="001A743C"/>
    <w:rsid w:val="001A7904"/>
    <w:rsid w:val="001B0DAB"/>
    <w:rsid w:val="001B28D5"/>
    <w:rsid w:val="001B3772"/>
    <w:rsid w:val="001B450B"/>
    <w:rsid w:val="001B46E9"/>
    <w:rsid w:val="001B4929"/>
    <w:rsid w:val="001B4CD8"/>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6B41"/>
    <w:rsid w:val="002327A2"/>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1AD5"/>
    <w:rsid w:val="00252142"/>
    <w:rsid w:val="00252769"/>
    <w:rsid w:val="00256A53"/>
    <w:rsid w:val="002601B9"/>
    <w:rsid w:val="00260C57"/>
    <w:rsid w:val="00262133"/>
    <w:rsid w:val="00262F29"/>
    <w:rsid w:val="00263D5C"/>
    <w:rsid w:val="00263FC4"/>
    <w:rsid w:val="002640FE"/>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ACB"/>
    <w:rsid w:val="002A3B95"/>
    <w:rsid w:val="002A564B"/>
    <w:rsid w:val="002A63CD"/>
    <w:rsid w:val="002A6730"/>
    <w:rsid w:val="002A6F1E"/>
    <w:rsid w:val="002A7A17"/>
    <w:rsid w:val="002A7D7D"/>
    <w:rsid w:val="002B0793"/>
    <w:rsid w:val="002B21E2"/>
    <w:rsid w:val="002B4B19"/>
    <w:rsid w:val="002B59FE"/>
    <w:rsid w:val="002C0149"/>
    <w:rsid w:val="002C0832"/>
    <w:rsid w:val="002C1269"/>
    <w:rsid w:val="002C265D"/>
    <w:rsid w:val="002C36E5"/>
    <w:rsid w:val="002C4112"/>
    <w:rsid w:val="002C652E"/>
    <w:rsid w:val="002C69C9"/>
    <w:rsid w:val="002D039B"/>
    <w:rsid w:val="002D1384"/>
    <w:rsid w:val="002D1970"/>
    <w:rsid w:val="002D44D3"/>
    <w:rsid w:val="002D499C"/>
    <w:rsid w:val="002D5361"/>
    <w:rsid w:val="002D6158"/>
    <w:rsid w:val="002E58ED"/>
    <w:rsid w:val="002E789B"/>
    <w:rsid w:val="002F3A9A"/>
    <w:rsid w:val="002F43AF"/>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43E2"/>
    <w:rsid w:val="00314569"/>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640"/>
    <w:rsid w:val="00353A88"/>
    <w:rsid w:val="003541AF"/>
    <w:rsid w:val="00354454"/>
    <w:rsid w:val="00354CBD"/>
    <w:rsid w:val="00356625"/>
    <w:rsid w:val="0035675D"/>
    <w:rsid w:val="003600A8"/>
    <w:rsid w:val="00367F43"/>
    <w:rsid w:val="00367FC5"/>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87E52"/>
    <w:rsid w:val="00390644"/>
    <w:rsid w:val="0039107D"/>
    <w:rsid w:val="00392B81"/>
    <w:rsid w:val="00394360"/>
    <w:rsid w:val="0039528D"/>
    <w:rsid w:val="003977E0"/>
    <w:rsid w:val="003A1305"/>
    <w:rsid w:val="003A156F"/>
    <w:rsid w:val="003A1D5D"/>
    <w:rsid w:val="003A23C4"/>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DD6"/>
    <w:rsid w:val="003D3FCD"/>
    <w:rsid w:val="003D6248"/>
    <w:rsid w:val="003E002C"/>
    <w:rsid w:val="003E0736"/>
    <w:rsid w:val="003E0B49"/>
    <w:rsid w:val="003E0C74"/>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07817"/>
    <w:rsid w:val="00412090"/>
    <w:rsid w:val="00413E54"/>
    <w:rsid w:val="00415652"/>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80C"/>
    <w:rsid w:val="00432AFB"/>
    <w:rsid w:val="0043354F"/>
    <w:rsid w:val="0043387C"/>
    <w:rsid w:val="004356E7"/>
    <w:rsid w:val="0043609D"/>
    <w:rsid w:val="00436969"/>
    <w:rsid w:val="00437BBE"/>
    <w:rsid w:val="00437C38"/>
    <w:rsid w:val="00441894"/>
    <w:rsid w:val="00441AEC"/>
    <w:rsid w:val="0044203F"/>
    <w:rsid w:val="00442F8F"/>
    <w:rsid w:val="0044393D"/>
    <w:rsid w:val="004439E0"/>
    <w:rsid w:val="00443B6E"/>
    <w:rsid w:val="00445563"/>
    <w:rsid w:val="00445CE3"/>
    <w:rsid w:val="00445F41"/>
    <w:rsid w:val="00446F4E"/>
    <w:rsid w:val="00451316"/>
    <w:rsid w:val="00451FDA"/>
    <w:rsid w:val="004521B9"/>
    <w:rsid w:val="00453D91"/>
    <w:rsid w:val="00453F5D"/>
    <w:rsid w:val="004544D4"/>
    <w:rsid w:val="00454B07"/>
    <w:rsid w:val="004551DA"/>
    <w:rsid w:val="00456A9F"/>
    <w:rsid w:val="00456CDC"/>
    <w:rsid w:val="004600D9"/>
    <w:rsid w:val="004606C2"/>
    <w:rsid w:val="0046071F"/>
    <w:rsid w:val="00460F45"/>
    <w:rsid w:val="004610E8"/>
    <w:rsid w:val="004612C8"/>
    <w:rsid w:val="00461EA5"/>
    <w:rsid w:val="00462574"/>
    <w:rsid w:val="00462BBC"/>
    <w:rsid w:val="00464F70"/>
    <w:rsid w:val="00465AAB"/>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87C26"/>
    <w:rsid w:val="004903C0"/>
    <w:rsid w:val="00490717"/>
    <w:rsid w:val="00490A26"/>
    <w:rsid w:val="00491D27"/>
    <w:rsid w:val="0049427C"/>
    <w:rsid w:val="00494BF3"/>
    <w:rsid w:val="0049726A"/>
    <w:rsid w:val="00497FF7"/>
    <w:rsid w:val="004A105A"/>
    <w:rsid w:val="004A2AC3"/>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564E"/>
    <w:rsid w:val="004C602C"/>
    <w:rsid w:val="004C65A3"/>
    <w:rsid w:val="004C675F"/>
    <w:rsid w:val="004C74E5"/>
    <w:rsid w:val="004D2860"/>
    <w:rsid w:val="004D3103"/>
    <w:rsid w:val="004D3264"/>
    <w:rsid w:val="004D3481"/>
    <w:rsid w:val="004D52CF"/>
    <w:rsid w:val="004D54C7"/>
    <w:rsid w:val="004D5F4A"/>
    <w:rsid w:val="004D6591"/>
    <w:rsid w:val="004D7FC9"/>
    <w:rsid w:val="004E12DD"/>
    <w:rsid w:val="004E241D"/>
    <w:rsid w:val="004E3571"/>
    <w:rsid w:val="004E47DE"/>
    <w:rsid w:val="004E4F4C"/>
    <w:rsid w:val="004E53E3"/>
    <w:rsid w:val="004E6B8D"/>
    <w:rsid w:val="004E6F92"/>
    <w:rsid w:val="004E7AC4"/>
    <w:rsid w:val="004E7C4A"/>
    <w:rsid w:val="004F3F04"/>
    <w:rsid w:val="004F4796"/>
    <w:rsid w:val="004F4842"/>
    <w:rsid w:val="004F4BFF"/>
    <w:rsid w:val="004F6224"/>
    <w:rsid w:val="004F6ECF"/>
    <w:rsid w:val="004F7D59"/>
    <w:rsid w:val="0050153C"/>
    <w:rsid w:val="00503329"/>
    <w:rsid w:val="0050424B"/>
    <w:rsid w:val="005054EF"/>
    <w:rsid w:val="0050713A"/>
    <w:rsid w:val="00507251"/>
    <w:rsid w:val="005136AB"/>
    <w:rsid w:val="00513E41"/>
    <w:rsid w:val="005142E3"/>
    <w:rsid w:val="00517852"/>
    <w:rsid w:val="005179EA"/>
    <w:rsid w:val="00521351"/>
    <w:rsid w:val="00521C19"/>
    <w:rsid w:val="00523149"/>
    <w:rsid w:val="005238D5"/>
    <w:rsid w:val="005248E5"/>
    <w:rsid w:val="0052559B"/>
    <w:rsid w:val="00532212"/>
    <w:rsid w:val="005331E2"/>
    <w:rsid w:val="00534D59"/>
    <w:rsid w:val="00537584"/>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64CE"/>
    <w:rsid w:val="00576AAB"/>
    <w:rsid w:val="00577081"/>
    <w:rsid w:val="0058049B"/>
    <w:rsid w:val="00581E8E"/>
    <w:rsid w:val="0058242A"/>
    <w:rsid w:val="00583B59"/>
    <w:rsid w:val="0058409A"/>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D049C"/>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5A9E"/>
    <w:rsid w:val="005F7BE5"/>
    <w:rsid w:val="006021E3"/>
    <w:rsid w:val="00602E67"/>
    <w:rsid w:val="006032DA"/>
    <w:rsid w:val="006034C0"/>
    <w:rsid w:val="00603AE6"/>
    <w:rsid w:val="00603CDF"/>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12BD"/>
    <w:rsid w:val="00641763"/>
    <w:rsid w:val="006437FF"/>
    <w:rsid w:val="00643CDE"/>
    <w:rsid w:val="00644F94"/>
    <w:rsid w:val="006474AB"/>
    <w:rsid w:val="00647DAE"/>
    <w:rsid w:val="00650DF4"/>
    <w:rsid w:val="006527DF"/>
    <w:rsid w:val="00653F9B"/>
    <w:rsid w:val="006564C4"/>
    <w:rsid w:val="00657E3E"/>
    <w:rsid w:val="00657F6B"/>
    <w:rsid w:val="00660132"/>
    <w:rsid w:val="00660B22"/>
    <w:rsid w:val="00662A3A"/>
    <w:rsid w:val="00664198"/>
    <w:rsid w:val="00665DAD"/>
    <w:rsid w:val="0066728B"/>
    <w:rsid w:val="006672B8"/>
    <w:rsid w:val="00670BF3"/>
    <w:rsid w:val="0067197F"/>
    <w:rsid w:val="0067358E"/>
    <w:rsid w:val="00673B03"/>
    <w:rsid w:val="006741A8"/>
    <w:rsid w:val="00675258"/>
    <w:rsid w:val="006762E1"/>
    <w:rsid w:val="0067659E"/>
    <w:rsid w:val="00676927"/>
    <w:rsid w:val="00676996"/>
    <w:rsid w:val="00677B13"/>
    <w:rsid w:val="00677CA5"/>
    <w:rsid w:val="00680693"/>
    <w:rsid w:val="00680FBD"/>
    <w:rsid w:val="006821C8"/>
    <w:rsid w:val="00682655"/>
    <w:rsid w:val="00682A4A"/>
    <w:rsid w:val="00683619"/>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9CF"/>
    <w:rsid w:val="006B7887"/>
    <w:rsid w:val="006C0B00"/>
    <w:rsid w:val="006C15F7"/>
    <w:rsid w:val="006C2268"/>
    <w:rsid w:val="006C3550"/>
    <w:rsid w:val="006C57BA"/>
    <w:rsid w:val="006C597B"/>
    <w:rsid w:val="006C6620"/>
    <w:rsid w:val="006C69EE"/>
    <w:rsid w:val="006C6F22"/>
    <w:rsid w:val="006C776C"/>
    <w:rsid w:val="006C79BB"/>
    <w:rsid w:val="006C7DFF"/>
    <w:rsid w:val="006D0708"/>
    <w:rsid w:val="006D0846"/>
    <w:rsid w:val="006D1655"/>
    <w:rsid w:val="006D1804"/>
    <w:rsid w:val="006D240C"/>
    <w:rsid w:val="006D27DD"/>
    <w:rsid w:val="006D425E"/>
    <w:rsid w:val="006D48A6"/>
    <w:rsid w:val="006D57D8"/>
    <w:rsid w:val="006D5C2C"/>
    <w:rsid w:val="006D6390"/>
    <w:rsid w:val="006D7AB4"/>
    <w:rsid w:val="006D7ABD"/>
    <w:rsid w:val="006E0235"/>
    <w:rsid w:val="006E10F6"/>
    <w:rsid w:val="006E1E19"/>
    <w:rsid w:val="006E24DB"/>
    <w:rsid w:val="006E2767"/>
    <w:rsid w:val="006E30D5"/>
    <w:rsid w:val="006E35F2"/>
    <w:rsid w:val="006E373B"/>
    <w:rsid w:val="006E4391"/>
    <w:rsid w:val="006E4D4D"/>
    <w:rsid w:val="006E6264"/>
    <w:rsid w:val="006E714E"/>
    <w:rsid w:val="006F0740"/>
    <w:rsid w:val="006F25CF"/>
    <w:rsid w:val="006F26BE"/>
    <w:rsid w:val="006F35E4"/>
    <w:rsid w:val="006F4261"/>
    <w:rsid w:val="006F4F34"/>
    <w:rsid w:val="006F6E1B"/>
    <w:rsid w:val="007001D0"/>
    <w:rsid w:val="007003DA"/>
    <w:rsid w:val="00700F1A"/>
    <w:rsid w:val="00701012"/>
    <w:rsid w:val="007013F6"/>
    <w:rsid w:val="007030FA"/>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364"/>
    <w:rsid w:val="00725ABE"/>
    <w:rsid w:val="00726174"/>
    <w:rsid w:val="00727ADF"/>
    <w:rsid w:val="007303A5"/>
    <w:rsid w:val="00730938"/>
    <w:rsid w:val="0073167A"/>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544E"/>
    <w:rsid w:val="0074658A"/>
    <w:rsid w:val="00746BB0"/>
    <w:rsid w:val="007502BB"/>
    <w:rsid w:val="007505F0"/>
    <w:rsid w:val="00752C85"/>
    <w:rsid w:val="00753497"/>
    <w:rsid w:val="00753872"/>
    <w:rsid w:val="007549DF"/>
    <w:rsid w:val="00755587"/>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256"/>
    <w:rsid w:val="007729BE"/>
    <w:rsid w:val="00772BDC"/>
    <w:rsid w:val="00772FEA"/>
    <w:rsid w:val="007744C2"/>
    <w:rsid w:val="00775A54"/>
    <w:rsid w:val="00775B91"/>
    <w:rsid w:val="00776267"/>
    <w:rsid w:val="007771C5"/>
    <w:rsid w:val="00780173"/>
    <w:rsid w:val="007810A2"/>
    <w:rsid w:val="007839B3"/>
    <w:rsid w:val="007870FB"/>
    <w:rsid w:val="00787E86"/>
    <w:rsid w:val="007922BE"/>
    <w:rsid w:val="007927AE"/>
    <w:rsid w:val="00794459"/>
    <w:rsid w:val="00796145"/>
    <w:rsid w:val="0079628C"/>
    <w:rsid w:val="007963CB"/>
    <w:rsid w:val="007963FC"/>
    <w:rsid w:val="0079643E"/>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CAA"/>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5136"/>
    <w:rsid w:val="00805172"/>
    <w:rsid w:val="00805546"/>
    <w:rsid w:val="00806BE4"/>
    <w:rsid w:val="00806F99"/>
    <w:rsid w:val="00807724"/>
    <w:rsid w:val="008106CD"/>
    <w:rsid w:val="00810B98"/>
    <w:rsid w:val="008116B7"/>
    <w:rsid w:val="00812493"/>
    <w:rsid w:val="0081251A"/>
    <w:rsid w:val="00812567"/>
    <w:rsid w:val="00812AA2"/>
    <w:rsid w:val="00812E4D"/>
    <w:rsid w:val="008133EE"/>
    <w:rsid w:val="00814130"/>
    <w:rsid w:val="008156F3"/>
    <w:rsid w:val="0081610E"/>
    <w:rsid w:val="00816372"/>
    <w:rsid w:val="00816A51"/>
    <w:rsid w:val="00816E56"/>
    <w:rsid w:val="00820146"/>
    <w:rsid w:val="008212BD"/>
    <w:rsid w:val="0082145B"/>
    <w:rsid w:val="00821891"/>
    <w:rsid w:val="00821A26"/>
    <w:rsid w:val="00821F27"/>
    <w:rsid w:val="0082248B"/>
    <w:rsid w:val="00822882"/>
    <w:rsid w:val="00823625"/>
    <w:rsid w:val="00825383"/>
    <w:rsid w:val="008268AB"/>
    <w:rsid w:val="0082729D"/>
    <w:rsid w:val="00830ECC"/>
    <w:rsid w:val="008324D5"/>
    <w:rsid w:val="00832ACB"/>
    <w:rsid w:val="00832CDA"/>
    <w:rsid w:val="00834F4B"/>
    <w:rsid w:val="0083565E"/>
    <w:rsid w:val="00835969"/>
    <w:rsid w:val="00837507"/>
    <w:rsid w:val="00837915"/>
    <w:rsid w:val="00837AA9"/>
    <w:rsid w:val="00840838"/>
    <w:rsid w:val="008408FD"/>
    <w:rsid w:val="00841CBB"/>
    <w:rsid w:val="0084242F"/>
    <w:rsid w:val="0084299A"/>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85A"/>
    <w:rsid w:val="00894DA5"/>
    <w:rsid w:val="00896E3C"/>
    <w:rsid w:val="00896FDB"/>
    <w:rsid w:val="00897119"/>
    <w:rsid w:val="008A27C2"/>
    <w:rsid w:val="008A5DAA"/>
    <w:rsid w:val="008A6166"/>
    <w:rsid w:val="008A6DE7"/>
    <w:rsid w:val="008A7772"/>
    <w:rsid w:val="008A7D50"/>
    <w:rsid w:val="008B0223"/>
    <w:rsid w:val="008B0FC3"/>
    <w:rsid w:val="008B22EE"/>
    <w:rsid w:val="008B2799"/>
    <w:rsid w:val="008B465D"/>
    <w:rsid w:val="008B6062"/>
    <w:rsid w:val="008B6858"/>
    <w:rsid w:val="008B7506"/>
    <w:rsid w:val="008B7BC1"/>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3DF9"/>
    <w:rsid w:val="008D4938"/>
    <w:rsid w:val="008D4D70"/>
    <w:rsid w:val="008D54BE"/>
    <w:rsid w:val="008D565D"/>
    <w:rsid w:val="008D5D3E"/>
    <w:rsid w:val="008D5D71"/>
    <w:rsid w:val="008D5F50"/>
    <w:rsid w:val="008D6535"/>
    <w:rsid w:val="008D6A9B"/>
    <w:rsid w:val="008D7250"/>
    <w:rsid w:val="008D7C58"/>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A82"/>
    <w:rsid w:val="00914596"/>
    <w:rsid w:val="00915902"/>
    <w:rsid w:val="00916714"/>
    <w:rsid w:val="00917115"/>
    <w:rsid w:val="00917CF1"/>
    <w:rsid w:val="00920D0B"/>
    <w:rsid w:val="009214E5"/>
    <w:rsid w:val="00922878"/>
    <w:rsid w:val="00924271"/>
    <w:rsid w:val="009242D9"/>
    <w:rsid w:val="0092444F"/>
    <w:rsid w:val="009246DB"/>
    <w:rsid w:val="009248C3"/>
    <w:rsid w:val="009275F8"/>
    <w:rsid w:val="009321FE"/>
    <w:rsid w:val="00934279"/>
    <w:rsid w:val="00942462"/>
    <w:rsid w:val="009428A3"/>
    <w:rsid w:val="00942EDF"/>
    <w:rsid w:val="009440B4"/>
    <w:rsid w:val="0094458E"/>
    <w:rsid w:val="00944A2A"/>
    <w:rsid w:val="00946640"/>
    <w:rsid w:val="00950B7B"/>
    <w:rsid w:val="009560B9"/>
    <w:rsid w:val="00956F14"/>
    <w:rsid w:val="009572CC"/>
    <w:rsid w:val="009600F6"/>
    <w:rsid w:val="00960EC7"/>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D6D"/>
    <w:rsid w:val="009E252D"/>
    <w:rsid w:val="009E2728"/>
    <w:rsid w:val="009E2B08"/>
    <w:rsid w:val="009E3D50"/>
    <w:rsid w:val="009E4C9B"/>
    <w:rsid w:val="009E79F0"/>
    <w:rsid w:val="009F04AD"/>
    <w:rsid w:val="009F1969"/>
    <w:rsid w:val="009F287A"/>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0773C"/>
    <w:rsid w:val="00A201C8"/>
    <w:rsid w:val="00A22863"/>
    <w:rsid w:val="00A22B75"/>
    <w:rsid w:val="00A2351E"/>
    <w:rsid w:val="00A2371E"/>
    <w:rsid w:val="00A24347"/>
    <w:rsid w:val="00A25AFA"/>
    <w:rsid w:val="00A25ED1"/>
    <w:rsid w:val="00A26CBA"/>
    <w:rsid w:val="00A26E3F"/>
    <w:rsid w:val="00A31862"/>
    <w:rsid w:val="00A31869"/>
    <w:rsid w:val="00A33947"/>
    <w:rsid w:val="00A34171"/>
    <w:rsid w:val="00A345ED"/>
    <w:rsid w:val="00A353E9"/>
    <w:rsid w:val="00A35831"/>
    <w:rsid w:val="00A41819"/>
    <w:rsid w:val="00A41B0C"/>
    <w:rsid w:val="00A41D4E"/>
    <w:rsid w:val="00A43F44"/>
    <w:rsid w:val="00A45876"/>
    <w:rsid w:val="00A462E1"/>
    <w:rsid w:val="00A471EA"/>
    <w:rsid w:val="00A47D95"/>
    <w:rsid w:val="00A47E78"/>
    <w:rsid w:val="00A47EE4"/>
    <w:rsid w:val="00A50A2E"/>
    <w:rsid w:val="00A510C0"/>
    <w:rsid w:val="00A51AB9"/>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56C3"/>
    <w:rsid w:val="00A85D83"/>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1407"/>
    <w:rsid w:val="00AA3331"/>
    <w:rsid w:val="00AA3942"/>
    <w:rsid w:val="00AA39CB"/>
    <w:rsid w:val="00AA52E5"/>
    <w:rsid w:val="00AA5911"/>
    <w:rsid w:val="00AA7624"/>
    <w:rsid w:val="00AB19F8"/>
    <w:rsid w:val="00AB2298"/>
    <w:rsid w:val="00AB2841"/>
    <w:rsid w:val="00AB2EE2"/>
    <w:rsid w:val="00AB3FC4"/>
    <w:rsid w:val="00AB4626"/>
    <w:rsid w:val="00AC23B9"/>
    <w:rsid w:val="00AC25B4"/>
    <w:rsid w:val="00AC49AD"/>
    <w:rsid w:val="00AC5342"/>
    <w:rsid w:val="00AC55E3"/>
    <w:rsid w:val="00AC659A"/>
    <w:rsid w:val="00AD0287"/>
    <w:rsid w:val="00AD14B2"/>
    <w:rsid w:val="00AD3796"/>
    <w:rsid w:val="00AD3C4D"/>
    <w:rsid w:val="00AD4207"/>
    <w:rsid w:val="00AD5BDA"/>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09C"/>
    <w:rsid w:val="00AF2210"/>
    <w:rsid w:val="00AF330A"/>
    <w:rsid w:val="00AF3F9D"/>
    <w:rsid w:val="00AF74AB"/>
    <w:rsid w:val="00AF7CB1"/>
    <w:rsid w:val="00B00B2C"/>
    <w:rsid w:val="00B02F51"/>
    <w:rsid w:val="00B0311C"/>
    <w:rsid w:val="00B03296"/>
    <w:rsid w:val="00B03B65"/>
    <w:rsid w:val="00B056AC"/>
    <w:rsid w:val="00B05D38"/>
    <w:rsid w:val="00B05D6A"/>
    <w:rsid w:val="00B06010"/>
    <w:rsid w:val="00B0715C"/>
    <w:rsid w:val="00B0741F"/>
    <w:rsid w:val="00B07ECB"/>
    <w:rsid w:val="00B10CF5"/>
    <w:rsid w:val="00B11AE4"/>
    <w:rsid w:val="00B1229D"/>
    <w:rsid w:val="00B13945"/>
    <w:rsid w:val="00B15735"/>
    <w:rsid w:val="00B16BF6"/>
    <w:rsid w:val="00B17BCA"/>
    <w:rsid w:val="00B22613"/>
    <w:rsid w:val="00B23EE6"/>
    <w:rsid w:val="00B248ED"/>
    <w:rsid w:val="00B2560F"/>
    <w:rsid w:val="00B256B5"/>
    <w:rsid w:val="00B26153"/>
    <w:rsid w:val="00B26358"/>
    <w:rsid w:val="00B30954"/>
    <w:rsid w:val="00B31125"/>
    <w:rsid w:val="00B318C2"/>
    <w:rsid w:val="00B32A18"/>
    <w:rsid w:val="00B32AC6"/>
    <w:rsid w:val="00B32C4D"/>
    <w:rsid w:val="00B33D5B"/>
    <w:rsid w:val="00B34842"/>
    <w:rsid w:val="00B34DB2"/>
    <w:rsid w:val="00B35D03"/>
    <w:rsid w:val="00B3639D"/>
    <w:rsid w:val="00B36B49"/>
    <w:rsid w:val="00B41D07"/>
    <w:rsid w:val="00B430F7"/>
    <w:rsid w:val="00B43110"/>
    <w:rsid w:val="00B4317D"/>
    <w:rsid w:val="00B436A2"/>
    <w:rsid w:val="00B43B92"/>
    <w:rsid w:val="00B44EF8"/>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0F5D"/>
    <w:rsid w:val="00B61906"/>
    <w:rsid w:val="00B619E4"/>
    <w:rsid w:val="00B62DA0"/>
    <w:rsid w:val="00B6393F"/>
    <w:rsid w:val="00B64272"/>
    <w:rsid w:val="00B64531"/>
    <w:rsid w:val="00B645B5"/>
    <w:rsid w:val="00B64BF5"/>
    <w:rsid w:val="00B65ABB"/>
    <w:rsid w:val="00B6604B"/>
    <w:rsid w:val="00B7183F"/>
    <w:rsid w:val="00B72812"/>
    <w:rsid w:val="00B72BDD"/>
    <w:rsid w:val="00B73A94"/>
    <w:rsid w:val="00B742B0"/>
    <w:rsid w:val="00B74A52"/>
    <w:rsid w:val="00B74AE4"/>
    <w:rsid w:val="00B74D4F"/>
    <w:rsid w:val="00B7544D"/>
    <w:rsid w:val="00B76F76"/>
    <w:rsid w:val="00B77485"/>
    <w:rsid w:val="00B7787C"/>
    <w:rsid w:val="00B8155C"/>
    <w:rsid w:val="00B83532"/>
    <w:rsid w:val="00B85C81"/>
    <w:rsid w:val="00B86319"/>
    <w:rsid w:val="00B86634"/>
    <w:rsid w:val="00B86D50"/>
    <w:rsid w:val="00B9162E"/>
    <w:rsid w:val="00B918C6"/>
    <w:rsid w:val="00B91B2F"/>
    <w:rsid w:val="00B930CD"/>
    <w:rsid w:val="00B932A7"/>
    <w:rsid w:val="00B935AF"/>
    <w:rsid w:val="00B94433"/>
    <w:rsid w:val="00B95BAE"/>
    <w:rsid w:val="00B96139"/>
    <w:rsid w:val="00BA04B2"/>
    <w:rsid w:val="00BA0A54"/>
    <w:rsid w:val="00BA19C7"/>
    <w:rsid w:val="00BA3D94"/>
    <w:rsid w:val="00BA4474"/>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21D7"/>
    <w:rsid w:val="00C06703"/>
    <w:rsid w:val="00C07327"/>
    <w:rsid w:val="00C07CD8"/>
    <w:rsid w:val="00C11B27"/>
    <w:rsid w:val="00C1210B"/>
    <w:rsid w:val="00C12254"/>
    <w:rsid w:val="00C1252C"/>
    <w:rsid w:val="00C12769"/>
    <w:rsid w:val="00C13257"/>
    <w:rsid w:val="00C145E4"/>
    <w:rsid w:val="00C14A8B"/>
    <w:rsid w:val="00C14BFB"/>
    <w:rsid w:val="00C15F78"/>
    <w:rsid w:val="00C167D5"/>
    <w:rsid w:val="00C16A60"/>
    <w:rsid w:val="00C17444"/>
    <w:rsid w:val="00C17586"/>
    <w:rsid w:val="00C175D3"/>
    <w:rsid w:val="00C1794A"/>
    <w:rsid w:val="00C20EF3"/>
    <w:rsid w:val="00C210F3"/>
    <w:rsid w:val="00C22048"/>
    <w:rsid w:val="00C22070"/>
    <w:rsid w:val="00C22097"/>
    <w:rsid w:val="00C22962"/>
    <w:rsid w:val="00C22BAC"/>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2B3C"/>
    <w:rsid w:val="00C4399A"/>
    <w:rsid w:val="00C442BE"/>
    <w:rsid w:val="00C45D7F"/>
    <w:rsid w:val="00C45E2B"/>
    <w:rsid w:val="00C5099C"/>
    <w:rsid w:val="00C5167B"/>
    <w:rsid w:val="00C52E3B"/>
    <w:rsid w:val="00C54F6A"/>
    <w:rsid w:val="00C57E5B"/>
    <w:rsid w:val="00C604CB"/>
    <w:rsid w:val="00C63A0D"/>
    <w:rsid w:val="00C63E04"/>
    <w:rsid w:val="00C64670"/>
    <w:rsid w:val="00C65B76"/>
    <w:rsid w:val="00C65F60"/>
    <w:rsid w:val="00C668EB"/>
    <w:rsid w:val="00C71222"/>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39D8"/>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65FF"/>
    <w:rsid w:val="00CC1A91"/>
    <w:rsid w:val="00CC1C9A"/>
    <w:rsid w:val="00CC1EEE"/>
    <w:rsid w:val="00CC3414"/>
    <w:rsid w:val="00CC3B54"/>
    <w:rsid w:val="00CC56D7"/>
    <w:rsid w:val="00CC797E"/>
    <w:rsid w:val="00CC7CD3"/>
    <w:rsid w:val="00CD04F0"/>
    <w:rsid w:val="00CD1D14"/>
    <w:rsid w:val="00CD2979"/>
    <w:rsid w:val="00CD2F4C"/>
    <w:rsid w:val="00CD407B"/>
    <w:rsid w:val="00CD4129"/>
    <w:rsid w:val="00CD4586"/>
    <w:rsid w:val="00CD6174"/>
    <w:rsid w:val="00CD6F45"/>
    <w:rsid w:val="00CD7008"/>
    <w:rsid w:val="00CE3BCE"/>
    <w:rsid w:val="00CE3E22"/>
    <w:rsid w:val="00CE5C9C"/>
    <w:rsid w:val="00CE6707"/>
    <w:rsid w:val="00CF0015"/>
    <w:rsid w:val="00CF0AD2"/>
    <w:rsid w:val="00CF2559"/>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3A87"/>
    <w:rsid w:val="00D554C1"/>
    <w:rsid w:val="00D5569A"/>
    <w:rsid w:val="00D55EED"/>
    <w:rsid w:val="00D57116"/>
    <w:rsid w:val="00D575CA"/>
    <w:rsid w:val="00D60658"/>
    <w:rsid w:val="00D61BA8"/>
    <w:rsid w:val="00D63C1E"/>
    <w:rsid w:val="00D64AB3"/>
    <w:rsid w:val="00D65324"/>
    <w:rsid w:val="00D65CBF"/>
    <w:rsid w:val="00D66A7D"/>
    <w:rsid w:val="00D66FB8"/>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87303"/>
    <w:rsid w:val="00D90007"/>
    <w:rsid w:val="00D9209E"/>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3DFA"/>
    <w:rsid w:val="00DC4071"/>
    <w:rsid w:val="00DC51F7"/>
    <w:rsid w:val="00DC561C"/>
    <w:rsid w:val="00DC5C71"/>
    <w:rsid w:val="00DC70BC"/>
    <w:rsid w:val="00DC7279"/>
    <w:rsid w:val="00DC7FBB"/>
    <w:rsid w:val="00DD00FE"/>
    <w:rsid w:val="00DD0451"/>
    <w:rsid w:val="00DD0468"/>
    <w:rsid w:val="00DD10E5"/>
    <w:rsid w:val="00DD1988"/>
    <w:rsid w:val="00DD2491"/>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954"/>
    <w:rsid w:val="00E04EC4"/>
    <w:rsid w:val="00E051A8"/>
    <w:rsid w:val="00E055A6"/>
    <w:rsid w:val="00E06468"/>
    <w:rsid w:val="00E1041F"/>
    <w:rsid w:val="00E12857"/>
    <w:rsid w:val="00E12CC9"/>
    <w:rsid w:val="00E12D70"/>
    <w:rsid w:val="00E17AAB"/>
    <w:rsid w:val="00E204EE"/>
    <w:rsid w:val="00E20512"/>
    <w:rsid w:val="00E21B14"/>
    <w:rsid w:val="00E21D57"/>
    <w:rsid w:val="00E22DC8"/>
    <w:rsid w:val="00E24CFB"/>
    <w:rsid w:val="00E25295"/>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00C"/>
    <w:rsid w:val="00E4058E"/>
    <w:rsid w:val="00E4069D"/>
    <w:rsid w:val="00E42340"/>
    <w:rsid w:val="00E429EE"/>
    <w:rsid w:val="00E433D4"/>
    <w:rsid w:val="00E4392A"/>
    <w:rsid w:val="00E44BB2"/>
    <w:rsid w:val="00E44BB9"/>
    <w:rsid w:val="00E45FEF"/>
    <w:rsid w:val="00E46B6B"/>
    <w:rsid w:val="00E52190"/>
    <w:rsid w:val="00E545F2"/>
    <w:rsid w:val="00E54AEE"/>
    <w:rsid w:val="00E55C5B"/>
    <w:rsid w:val="00E56A1B"/>
    <w:rsid w:val="00E56DA0"/>
    <w:rsid w:val="00E63BC3"/>
    <w:rsid w:val="00E63CC3"/>
    <w:rsid w:val="00E63DE2"/>
    <w:rsid w:val="00E64473"/>
    <w:rsid w:val="00E6461C"/>
    <w:rsid w:val="00E66682"/>
    <w:rsid w:val="00E66E08"/>
    <w:rsid w:val="00E70FCC"/>
    <w:rsid w:val="00E71B0E"/>
    <w:rsid w:val="00E71CF3"/>
    <w:rsid w:val="00E72265"/>
    <w:rsid w:val="00E72BB5"/>
    <w:rsid w:val="00E72C93"/>
    <w:rsid w:val="00E73C65"/>
    <w:rsid w:val="00E75EEF"/>
    <w:rsid w:val="00E7746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696"/>
    <w:rsid w:val="00E96984"/>
    <w:rsid w:val="00E96AF7"/>
    <w:rsid w:val="00EA01FA"/>
    <w:rsid w:val="00EA186D"/>
    <w:rsid w:val="00EA1F1A"/>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9CA"/>
    <w:rsid w:val="00EF28D6"/>
    <w:rsid w:val="00EF2D7E"/>
    <w:rsid w:val="00EF32D1"/>
    <w:rsid w:val="00EF36C4"/>
    <w:rsid w:val="00EF3BEE"/>
    <w:rsid w:val="00EF4501"/>
    <w:rsid w:val="00EF51A6"/>
    <w:rsid w:val="00EF5231"/>
    <w:rsid w:val="00EF5E3E"/>
    <w:rsid w:val="00EF740E"/>
    <w:rsid w:val="00F037F5"/>
    <w:rsid w:val="00F04DCF"/>
    <w:rsid w:val="00F04F9A"/>
    <w:rsid w:val="00F06EA2"/>
    <w:rsid w:val="00F10C10"/>
    <w:rsid w:val="00F149DA"/>
    <w:rsid w:val="00F14B50"/>
    <w:rsid w:val="00F158F4"/>
    <w:rsid w:val="00F15F99"/>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145"/>
    <w:rsid w:val="00F4623F"/>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24D"/>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86EE6"/>
    <w:rsid w:val="00F90665"/>
    <w:rsid w:val="00F9121F"/>
    <w:rsid w:val="00F9169E"/>
    <w:rsid w:val="00F91B54"/>
    <w:rsid w:val="00F9281F"/>
    <w:rsid w:val="00F92A0D"/>
    <w:rsid w:val="00F945EB"/>
    <w:rsid w:val="00F94D68"/>
    <w:rsid w:val="00F95B74"/>
    <w:rsid w:val="00F9741C"/>
    <w:rsid w:val="00FA0F2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5C48"/>
    <w:rsid w:val="00FB615F"/>
    <w:rsid w:val="00FB76E9"/>
    <w:rsid w:val="00FC0A6B"/>
    <w:rsid w:val="00FC12B9"/>
    <w:rsid w:val="00FC1FAB"/>
    <w:rsid w:val="00FC1FAC"/>
    <w:rsid w:val="00FC2065"/>
    <w:rsid w:val="00FC2498"/>
    <w:rsid w:val="00FC26CC"/>
    <w:rsid w:val="00FC6563"/>
    <w:rsid w:val="00FC726E"/>
    <w:rsid w:val="00FD002F"/>
    <w:rsid w:val="00FD06FE"/>
    <w:rsid w:val="00FD0D2B"/>
    <w:rsid w:val="00FD16E2"/>
    <w:rsid w:val="00FD17B6"/>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0D51"/>
    <w:rsid w:val="00FF2532"/>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D3F25"/>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5" ma:contentTypeDescription="Create a new document." ma:contentTypeScope="" ma:versionID="09e3805961bdbb42dd25eab21cab9278">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073b874632e89083eabe9c4cc6196389"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5d7bbee-212f-42f3-bc38-a46983e575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8B23485-1C22-4CB9-8EB2-10E5D3D8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6313-7D01-451B-97E9-C8D6C44749EF}">
  <ds:schemaRefs>
    <ds:schemaRef ds:uri="35837b63-5559-4a02-aebb-6e054cabd8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5d7bbee-212f-42f3-bc38-a46983e57552"/>
    <ds:schemaRef ds:uri="http://www.w3.org/XML/1998/namespace"/>
    <ds:schemaRef ds:uri="http://purl.org/dc/dcmitype/"/>
  </ds:schemaRefs>
</ds:datastoreItem>
</file>

<file path=customXml/itemProps4.xml><?xml version="1.0" encoding="utf-8"?>
<ds:datastoreItem xmlns:ds="http://schemas.openxmlformats.org/officeDocument/2006/customXml" ds:itemID="{5749CF92-A99A-4D29-9041-95E9976B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4502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Datenanalyse von Intralogistikanlagen: Neue Webapplikation von TGW hilft bei Optimierung</vt:lpstr>
    </vt:vector>
  </TitlesOfParts>
  <Company>Klug</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 intelligente dei dati: la nuova applicazione web di TGW contribuisce all'ottimizzazione</dc:title>
  <dc:subject/>
  <dc:creator>Tahedl Alexander</dc:creator>
  <cp:keywords>Analisi intelligente dei dati: la nuova applicazione web di TGW contribuisce all'ottimizzazione</cp:keywords>
  <dc:description/>
  <cp:lastModifiedBy>Tahedl Alexander</cp:lastModifiedBy>
  <cp:revision>83</cp:revision>
  <cp:lastPrinted>2022-12-07T09:46:00Z</cp:lastPrinted>
  <dcterms:created xsi:type="dcterms:W3CDTF">2022-12-13T09:10:00Z</dcterms:created>
  <dcterms:modified xsi:type="dcterms:W3CDTF">2023-03-15T08:08:00Z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