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1A12B" w14:textId="706BDE59" w:rsidR="003F210C" w:rsidRDefault="003F210C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8"/>
          <w:szCs w:val="28"/>
          <w:lang w:val="de-DE"/>
        </w:rPr>
      </w:pPr>
    </w:p>
    <w:p w14:paraId="1E872BA8" w14:textId="0A734508" w:rsidR="008E4F78" w:rsidRDefault="00E54C3A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E54C3A">
        <w:rPr>
          <w:rFonts w:ascii="Arial" w:hAnsi="Arial" w:cs="Arial"/>
          <w:b/>
          <w:sz w:val="28"/>
          <w:szCs w:val="28"/>
          <w:lang w:val="en-US"/>
        </w:rPr>
        <w:t xml:space="preserve">Retrofit for </w:t>
      </w:r>
      <w:r>
        <w:rPr>
          <w:rFonts w:ascii="Arial" w:hAnsi="Arial" w:cs="Arial"/>
          <w:b/>
          <w:sz w:val="28"/>
          <w:szCs w:val="28"/>
          <w:lang w:val="en-US"/>
        </w:rPr>
        <w:t>M</w:t>
      </w:r>
      <w:r w:rsidRPr="00E54C3A">
        <w:rPr>
          <w:rFonts w:ascii="Arial" w:hAnsi="Arial" w:cs="Arial"/>
          <w:b/>
          <w:sz w:val="28"/>
          <w:szCs w:val="28"/>
          <w:lang w:val="en-US"/>
        </w:rPr>
        <w:t xml:space="preserve">edical </w:t>
      </w:r>
      <w:r>
        <w:rPr>
          <w:rFonts w:ascii="Arial" w:hAnsi="Arial" w:cs="Arial"/>
          <w:b/>
          <w:sz w:val="28"/>
          <w:szCs w:val="28"/>
          <w:lang w:val="en-US"/>
        </w:rPr>
        <w:t>T</w:t>
      </w:r>
      <w:r w:rsidRPr="00E54C3A">
        <w:rPr>
          <w:rFonts w:ascii="Arial" w:hAnsi="Arial" w:cs="Arial"/>
          <w:b/>
          <w:sz w:val="28"/>
          <w:szCs w:val="28"/>
          <w:lang w:val="en-US"/>
        </w:rPr>
        <w:t xml:space="preserve">echnology </w:t>
      </w:r>
      <w:r>
        <w:rPr>
          <w:rFonts w:ascii="Arial" w:hAnsi="Arial" w:cs="Arial"/>
          <w:b/>
          <w:sz w:val="28"/>
          <w:szCs w:val="28"/>
          <w:lang w:val="en-US"/>
        </w:rPr>
        <w:t>S</w:t>
      </w:r>
      <w:r w:rsidRPr="00E54C3A">
        <w:rPr>
          <w:rFonts w:ascii="Arial" w:hAnsi="Arial" w:cs="Arial"/>
          <w:b/>
          <w:sz w:val="28"/>
          <w:szCs w:val="28"/>
          <w:lang w:val="en-US"/>
        </w:rPr>
        <w:t>pecialist</w:t>
      </w:r>
    </w:p>
    <w:p w14:paraId="032BFC55" w14:textId="77777777" w:rsidR="008058FF" w:rsidRPr="008058FF" w:rsidRDefault="008058FF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Fonts w:ascii="Arial" w:hAnsi="Arial" w:cs="Arial"/>
          <w:b/>
          <w:lang w:val="en-US"/>
        </w:rPr>
      </w:pPr>
    </w:p>
    <w:p w14:paraId="1ECDD5B4" w14:textId="7C6688BC" w:rsidR="0088432B" w:rsidRPr="00B31D7E" w:rsidRDefault="0088432B" w:rsidP="008058FF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right="1695"/>
        <w:rPr>
          <w:rFonts w:ascii="Arial" w:hAnsi="Arial" w:cs="Arial"/>
          <w:b/>
          <w:lang w:val="en-US"/>
        </w:rPr>
      </w:pPr>
      <w:r w:rsidRPr="00B31D7E">
        <w:rPr>
          <w:rFonts w:ascii="Arial" w:hAnsi="Arial" w:cs="Arial"/>
          <w:b/>
          <w:lang w:val="en-US"/>
        </w:rPr>
        <w:t>Existing Aesculap AG plant equipped with a three-aisle shuttle system</w:t>
      </w:r>
    </w:p>
    <w:p w14:paraId="598C2D69" w14:textId="18C563DE" w:rsidR="0088432B" w:rsidRPr="00B31D7E" w:rsidRDefault="0088432B" w:rsidP="008058FF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right="1695"/>
        <w:rPr>
          <w:rFonts w:ascii="Arial" w:hAnsi="Arial" w:cs="Arial"/>
          <w:b/>
          <w:lang w:val="en-US"/>
        </w:rPr>
      </w:pPr>
      <w:r w:rsidRPr="00B31D7E">
        <w:rPr>
          <w:rFonts w:ascii="Arial" w:hAnsi="Arial" w:cs="Arial"/>
          <w:b/>
          <w:lang w:val="en-US"/>
        </w:rPr>
        <w:t xml:space="preserve">TGW </w:t>
      </w:r>
      <w:r w:rsidR="000832D4" w:rsidRPr="00B31D7E">
        <w:rPr>
          <w:rFonts w:ascii="Arial" w:hAnsi="Arial" w:cs="Arial"/>
          <w:b/>
          <w:lang w:val="en-US"/>
        </w:rPr>
        <w:t xml:space="preserve">to </w:t>
      </w:r>
      <w:r w:rsidRPr="00B31D7E">
        <w:rPr>
          <w:rFonts w:ascii="Arial" w:hAnsi="Arial" w:cs="Arial"/>
          <w:b/>
          <w:lang w:val="en-US"/>
        </w:rPr>
        <w:t>modernize mechatronics, control systems</w:t>
      </w:r>
      <w:r w:rsidR="00964C16" w:rsidRPr="00B31D7E">
        <w:rPr>
          <w:rFonts w:ascii="Arial" w:hAnsi="Arial" w:cs="Arial"/>
          <w:b/>
          <w:lang w:val="en-US"/>
        </w:rPr>
        <w:t>,</w:t>
      </w:r>
      <w:r w:rsidRPr="00B31D7E">
        <w:rPr>
          <w:rFonts w:ascii="Arial" w:hAnsi="Arial" w:cs="Arial"/>
          <w:b/>
          <w:lang w:val="en-US"/>
        </w:rPr>
        <w:t xml:space="preserve"> and software</w:t>
      </w:r>
    </w:p>
    <w:p w14:paraId="581A4212" w14:textId="77777777" w:rsidR="008058FF" w:rsidRDefault="0088432B" w:rsidP="008058FF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right="1695"/>
        <w:rPr>
          <w:rFonts w:ascii="Arial" w:hAnsi="Arial" w:cs="Arial"/>
          <w:b/>
          <w:lang w:val="en-US"/>
        </w:rPr>
      </w:pPr>
      <w:r w:rsidRPr="00B31D7E">
        <w:rPr>
          <w:rFonts w:ascii="Arial" w:hAnsi="Arial" w:cs="Arial"/>
          <w:b/>
          <w:lang w:val="en-US"/>
        </w:rPr>
        <w:t xml:space="preserve">System performance doubled to 4,000 deliveries per day </w:t>
      </w:r>
    </w:p>
    <w:p w14:paraId="78B232FD" w14:textId="77777777" w:rsidR="008058FF" w:rsidRDefault="008058FF" w:rsidP="008058FF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695"/>
        <w:rPr>
          <w:rFonts w:ascii="Arial" w:hAnsi="Arial" w:cs="Arial"/>
          <w:b/>
          <w:lang w:val="en-US"/>
        </w:rPr>
      </w:pPr>
    </w:p>
    <w:p w14:paraId="1C1E6251" w14:textId="78752603" w:rsidR="008E4F78" w:rsidRDefault="00581FB9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058FF">
        <w:rPr>
          <w:rFonts w:ascii="Arial" w:hAnsi="Arial" w:cs="Arial"/>
          <w:b/>
          <w:sz w:val="20"/>
          <w:szCs w:val="20"/>
          <w:lang w:val="en-US"/>
        </w:rPr>
        <w:t>Aesculap AG is one of the world's leading manufacturers of medical products. Founded in 1867, the company has been one of four divisions of the family-run medical technology and pharmaceutical manufacturer B. Braun Melsungen AG. With intralogistics increasingly reaching its capacity limits at Aesculap headquarters in Tuttlingen, Baden-W</w:t>
      </w:r>
      <w:r w:rsidR="0043397C" w:rsidRPr="008058FF">
        <w:rPr>
          <w:rFonts w:ascii="Arial" w:hAnsi="Arial" w:cs="Arial"/>
          <w:b/>
          <w:sz w:val="20"/>
          <w:szCs w:val="20"/>
          <w:lang w:val="en-US"/>
        </w:rPr>
        <w:t>ue</w:t>
      </w:r>
      <w:r w:rsidRPr="008058FF">
        <w:rPr>
          <w:rFonts w:ascii="Arial" w:hAnsi="Arial" w:cs="Arial"/>
          <w:b/>
          <w:sz w:val="20"/>
          <w:szCs w:val="20"/>
          <w:lang w:val="en-US"/>
        </w:rPr>
        <w:t xml:space="preserve">rttemberg, </w:t>
      </w:r>
      <w:proofErr w:type="gramStart"/>
      <w:r w:rsidRPr="008058FF">
        <w:rPr>
          <w:rFonts w:ascii="Arial" w:hAnsi="Arial" w:cs="Arial"/>
          <w:b/>
          <w:sz w:val="20"/>
          <w:szCs w:val="20"/>
          <w:lang w:val="en-US"/>
        </w:rPr>
        <w:t>TGW</w:t>
      </w:r>
      <w:proofErr w:type="gramEnd"/>
      <w:r w:rsidRPr="008058FF">
        <w:rPr>
          <w:rFonts w:ascii="Arial" w:hAnsi="Arial" w:cs="Arial"/>
          <w:b/>
          <w:sz w:val="20"/>
          <w:szCs w:val="20"/>
          <w:lang w:val="en-US"/>
        </w:rPr>
        <w:t xml:space="preserve"> was asked to provide its expertise in the area of intralogistics. In recent months, the project team </w:t>
      </w:r>
      <w:r w:rsidR="000832D4" w:rsidRPr="008058FF">
        <w:rPr>
          <w:rFonts w:ascii="Arial" w:hAnsi="Arial" w:cs="Arial"/>
          <w:b/>
          <w:sz w:val="20"/>
          <w:szCs w:val="20"/>
          <w:lang w:val="en-US"/>
        </w:rPr>
        <w:t xml:space="preserve">has </w:t>
      </w:r>
      <w:r w:rsidRPr="008058FF">
        <w:rPr>
          <w:rFonts w:ascii="Arial" w:hAnsi="Arial" w:cs="Arial"/>
          <w:b/>
          <w:sz w:val="20"/>
          <w:szCs w:val="20"/>
          <w:lang w:val="en-US"/>
        </w:rPr>
        <w:t>completed one of the largest retrofit projects in the history of TGW.</w:t>
      </w:r>
    </w:p>
    <w:p w14:paraId="41402C8A" w14:textId="77777777" w:rsidR="008058FF" w:rsidRPr="008058FF" w:rsidRDefault="008058FF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rPr>
          <w:rFonts w:ascii="Arial" w:hAnsi="Arial" w:cs="Arial"/>
          <w:b/>
          <w:lang w:val="en-US"/>
        </w:rPr>
      </w:pPr>
    </w:p>
    <w:p w14:paraId="3642EFB2" w14:textId="694BA230" w:rsidR="00454FE2" w:rsidRPr="0041040B" w:rsidRDefault="003F0B40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Fonts w:ascii="Arial" w:hAnsi="Arial" w:cs="Arial"/>
          <w:sz w:val="20"/>
          <w:szCs w:val="20"/>
          <w:lang w:val="en-US"/>
        </w:rPr>
      </w:pPr>
      <w:r w:rsidRPr="003F0B40">
        <w:rPr>
          <w:rFonts w:ascii="Arial" w:hAnsi="Arial" w:cs="Arial"/>
          <w:sz w:val="20"/>
          <w:szCs w:val="20"/>
          <w:lang w:val="en-US"/>
        </w:rPr>
        <w:t>From the central Aesculap logistics hub to the north-west of Lake Constance, doctors and hospitals all over the world are supplied with surgical instruments, implants</w:t>
      </w:r>
      <w:r w:rsidR="000832D4">
        <w:rPr>
          <w:rFonts w:ascii="Arial" w:hAnsi="Arial" w:cs="Arial"/>
          <w:sz w:val="20"/>
          <w:szCs w:val="20"/>
          <w:lang w:val="en-US"/>
        </w:rPr>
        <w:t>,</w:t>
      </w:r>
      <w:r w:rsidRPr="003F0B40">
        <w:rPr>
          <w:rFonts w:ascii="Arial" w:hAnsi="Arial" w:cs="Arial"/>
          <w:sz w:val="20"/>
          <w:szCs w:val="20"/>
          <w:lang w:val="en-US"/>
        </w:rPr>
        <w:t xml:space="preserve"> and special products for vascular diagnostics. </w:t>
      </w:r>
      <w:r w:rsidRPr="0041040B">
        <w:rPr>
          <w:rFonts w:ascii="Arial" w:hAnsi="Arial" w:cs="Arial"/>
          <w:sz w:val="20"/>
          <w:szCs w:val="20"/>
          <w:lang w:val="en-US"/>
        </w:rPr>
        <w:t>A team of TGW specialists has significantly expanded and upgraded th</w:t>
      </w:r>
      <w:r w:rsidR="000832D4">
        <w:rPr>
          <w:rFonts w:ascii="Arial" w:hAnsi="Arial" w:cs="Arial"/>
          <w:sz w:val="20"/>
          <w:szCs w:val="20"/>
          <w:lang w:val="en-US"/>
        </w:rPr>
        <w:t>is</w:t>
      </w:r>
      <w:r w:rsidRPr="0041040B">
        <w:rPr>
          <w:rFonts w:ascii="Arial" w:hAnsi="Arial" w:cs="Arial"/>
          <w:sz w:val="20"/>
          <w:szCs w:val="20"/>
          <w:lang w:val="en-US"/>
        </w:rPr>
        <w:t xml:space="preserve"> distribution center built in 2008. Thanks to dynamic processes and a high degree of automation, the overall performance of the system </w:t>
      </w:r>
      <w:r w:rsidR="000832D4">
        <w:rPr>
          <w:rFonts w:ascii="Arial" w:hAnsi="Arial" w:cs="Arial"/>
          <w:sz w:val="20"/>
          <w:szCs w:val="20"/>
          <w:lang w:val="en-US"/>
        </w:rPr>
        <w:t xml:space="preserve">is </w:t>
      </w:r>
      <w:r w:rsidRPr="0041040B">
        <w:rPr>
          <w:rFonts w:ascii="Arial" w:hAnsi="Arial" w:cs="Arial"/>
          <w:sz w:val="20"/>
          <w:szCs w:val="20"/>
          <w:lang w:val="en-US"/>
        </w:rPr>
        <w:t>now twice as high.</w:t>
      </w:r>
    </w:p>
    <w:p w14:paraId="0E7C7288" w14:textId="77777777" w:rsidR="003F0B40" w:rsidRPr="0041040B" w:rsidRDefault="003F0B40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9FD27EE" w14:textId="07984ADD" w:rsidR="00454FE2" w:rsidRDefault="0041040B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1040B">
        <w:rPr>
          <w:rFonts w:ascii="Arial" w:hAnsi="Arial" w:cs="Arial"/>
          <w:b/>
          <w:sz w:val="20"/>
          <w:szCs w:val="20"/>
          <w:lang w:val="en-US"/>
        </w:rPr>
        <w:t>Expansion during on-going operation</w:t>
      </w:r>
      <w:r>
        <w:rPr>
          <w:rFonts w:ascii="Arial" w:hAnsi="Arial" w:cs="Arial"/>
          <w:b/>
          <w:sz w:val="20"/>
          <w:szCs w:val="20"/>
          <w:lang w:val="en-US"/>
        </w:rPr>
        <w:t>s</w:t>
      </w:r>
    </w:p>
    <w:p w14:paraId="787CA5F9" w14:textId="77777777" w:rsidR="0041040B" w:rsidRPr="005A5301" w:rsidRDefault="0041040B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  <w:lang w:val="en-US"/>
        </w:rPr>
      </w:pPr>
    </w:p>
    <w:p w14:paraId="552C87BE" w14:textId="035CE5FA" w:rsidR="005A5301" w:rsidRPr="00B31D7E" w:rsidRDefault="0041040B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  <w:lang w:val="en-US"/>
        </w:rPr>
      </w:pPr>
      <w:r w:rsidRPr="005A5301">
        <w:rPr>
          <w:rFonts w:ascii="Arial" w:hAnsi="Arial" w:cs="Arial"/>
          <w:sz w:val="20"/>
          <w:szCs w:val="20"/>
          <w:lang w:val="en-US"/>
        </w:rPr>
        <w:t xml:space="preserve">The existing automated </w:t>
      </w:r>
      <w:r w:rsidR="001C3A7F">
        <w:rPr>
          <w:rFonts w:ascii="Arial" w:hAnsi="Arial" w:cs="Arial"/>
          <w:sz w:val="20"/>
          <w:szCs w:val="20"/>
          <w:lang w:val="en-US"/>
        </w:rPr>
        <w:t>mini-load</w:t>
      </w:r>
      <w:r w:rsidRPr="005A5301">
        <w:rPr>
          <w:rFonts w:ascii="Arial" w:hAnsi="Arial" w:cs="Arial"/>
          <w:sz w:val="20"/>
          <w:szCs w:val="20"/>
          <w:lang w:val="en-US"/>
        </w:rPr>
        <w:t xml:space="preserve"> warehouse with TGW Mustang and Booster </w:t>
      </w:r>
      <w:r w:rsidR="00D44438">
        <w:rPr>
          <w:rFonts w:ascii="Arial" w:hAnsi="Arial" w:cs="Arial"/>
          <w:sz w:val="20"/>
          <w:szCs w:val="20"/>
          <w:lang w:val="en-US"/>
        </w:rPr>
        <w:t>storage and retrieval machines</w:t>
      </w:r>
      <w:r w:rsidRPr="005A5301">
        <w:rPr>
          <w:rFonts w:ascii="Arial" w:hAnsi="Arial" w:cs="Arial"/>
          <w:sz w:val="20"/>
          <w:szCs w:val="20"/>
          <w:lang w:val="en-US"/>
        </w:rPr>
        <w:t xml:space="preserve"> was upgraded with a shuttle system consisting of three aisles. </w:t>
      </w:r>
      <w:r w:rsidR="000832D4">
        <w:rPr>
          <w:rFonts w:ascii="Arial" w:hAnsi="Arial" w:cs="Arial"/>
          <w:sz w:val="20"/>
          <w:szCs w:val="20"/>
          <w:lang w:val="en-US"/>
        </w:rPr>
        <w:t>Now</w:t>
      </w:r>
      <w:r w:rsidRPr="005A5301">
        <w:rPr>
          <w:rFonts w:ascii="Arial" w:hAnsi="Arial" w:cs="Arial"/>
          <w:sz w:val="20"/>
          <w:szCs w:val="20"/>
          <w:lang w:val="en-US"/>
        </w:rPr>
        <w:t xml:space="preserve">, 39 energy-efficient Stingray shuttles provide storage and retrieval services. The containers can be stacked on top of each other: This allows maximum flexibility </w:t>
      </w:r>
      <w:r w:rsidR="000832D4">
        <w:rPr>
          <w:rFonts w:ascii="Arial" w:hAnsi="Arial" w:cs="Arial"/>
          <w:sz w:val="20"/>
          <w:szCs w:val="20"/>
          <w:lang w:val="en-US"/>
        </w:rPr>
        <w:t>for</w:t>
      </w:r>
      <w:r w:rsidRPr="005A5301">
        <w:rPr>
          <w:rFonts w:ascii="Arial" w:hAnsi="Arial" w:cs="Arial"/>
          <w:sz w:val="20"/>
          <w:szCs w:val="20"/>
          <w:lang w:val="en-US"/>
        </w:rPr>
        <w:t xml:space="preserve"> container heights</w:t>
      </w:r>
      <w:r w:rsidR="000832D4">
        <w:rPr>
          <w:rFonts w:ascii="Arial" w:hAnsi="Arial" w:cs="Arial"/>
          <w:sz w:val="20"/>
          <w:szCs w:val="20"/>
          <w:lang w:val="en-US"/>
        </w:rPr>
        <w:t>,</w:t>
      </w:r>
      <w:r w:rsidRPr="005A5301">
        <w:rPr>
          <w:rFonts w:ascii="Arial" w:hAnsi="Arial" w:cs="Arial"/>
          <w:sz w:val="20"/>
          <w:szCs w:val="20"/>
          <w:lang w:val="en-US"/>
        </w:rPr>
        <w:t xml:space="preserve"> and the floor space can be used </w:t>
      </w:r>
      <w:r w:rsidR="000832D4">
        <w:rPr>
          <w:rFonts w:ascii="Arial" w:hAnsi="Arial" w:cs="Arial"/>
          <w:sz w:val="20"/>
          <w:szCs w:val="20"/>
          <w:lang w:val="en-US"/>
        </w:rPr>
        <w:t>very</w:t>
      </w:r>
      <w:r w:rsidRPr="005A5301">
        <w:rPr>
          <w:rFonts w:ascii="Arial" w:hAnsi="Arial" w:cs="Arial"/>
          <w:sz w:val="20"/>
          <w:szCs w:val="20"/>
          <w:lang w:val="en-US"/>
        </w:rPr>
        <w:t xml:space="preserve"> efficiently. Goods receipt and shipping areas were also upgraded and the conveyor technology loops were expanded with energy-efficient KingDrive</w:t>
      </w:r>
      <w:r w:rsidRPr="006B4CCA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Pr="005A5301">
        <w:rPr>
          <w:rFonts w:ascii="Arial" w:hAnsi="Arial" w:cs="Arial"/>
          <w:sz w:val="20"/>
          <w:szCs w:val="20"/>
          <w:lang w:val="en-US"/>
        </w:rPr>
        <w:t xml:space="preserve"> technology. In addition, the team also brought the control</w:t>
      </w:r>
      <w:r w:rsidR="006B4CCA">
        <w:rPr>
          <w:rFonts w:ascii="Arial" w:hAnsi="Arial" w:cs="Arial"/>
          <w:sz w:val="20"/>
          <w:szCs w:val="20"/>
          <w:lang w:val="en-US"/>
        </w:rPr>
        <w:t>s system</w:t>
      </w:r>
      <w:r w:rsidRPr="005A5301">
        <w:rPr>
          <w:rFonts w:ascii="Arial" w:hAnsi="Arial" w:cs="Arial"/>
          <w:sz w:val="20"/>
          <w:szCs w:val="20"/>
          <w:lang w:val="en-US"/>
        </w:rPr>
        <w:t xml:space="preserve"> and software up to date. All remodeling and expansion work was carried out during ongoing operations, as downtimes were not an option: Hospitals and doctors depend on fast and, above all, reliable delivery.</w:t>
      </w:r>
    </w:p>
    <w:p w14:paraId="69164453" w14:textId="52BFF48A" w:rsidR="008E4F78" w:rsidRDefault="005A5301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6D0A">
        <w:rPr>
          <w:rFonts w:ascii="Arial" w:hAnsi="Arial" w:cs="Arial"/>
          <w:b/>
          <w:sz w:val="20"/>
          <w:szCs w:val="20"/>
          <w:lang w:val="en-US"/>
        </w:rPr>
        <w:t>Maximum reliability</w:t>
      </w:r>
    </w:p>
    <w:p w14:paraId="29152BD3" w14:textId="77777777" w:rsidR="008058FF" w:rsidRPr="00AF6D0A" w:rsidRDefault="008058FF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648026A" w14:textId="1D336A56" w:rsidR="008E4F78" w:rsidRPr="00AF6D0A" w:rsidRDefault="00AF6D0A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  <w:lang w:val="en-US"/>
        </w:rPr>
      </w:pPr>
      <w:r w:rsidRPr="00AF6D0A">
        <w:rPr>
          <w:rFonts w:ascii="Arial" w:hAnsi="Arial" w:cs="Arial"/>
          <w:sz w:val="20"/>
          <w:szCs w:val="20"/>
          <w:lang w:val="en-US"/>
        </w:rPr>
        <w:lastRenderedPageBreak/>
        <w:t xml:space="preserve">Following the extensive upgrading, 4,000 deliveries now leave the logistics center every day. As part of </w:t>
      </w:r>
      <w:r w:rsidR="005203E0">
        <w:rPr>
          <w:rFonts w:ascii="Arial" w:hAnsi="Arial" w:cs="Arial"/>
          <w:sz w:val="20"/>
          <w:szCs w:val="20"/>
          <w:lang w:val="en-US"/>
        </w:rPr>
        <w:t>its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 </w:t>
      </w:r>
      <w:r w:rsidR="005203E0">
        <w:rPr>
          <w:rFonts w:ascii="Arial" w:hAnsi="Arial" w:cs="Arial"/>
          <w:sz w:val="20"/>
          <w:szCs w:val="20"/>
          <w:lang w:val="en-US"/>
        </w:rPr>
        <w:t>“</w:t>
      </w:r>
      <w:r w:rsidRPr="00AF6D0A">
        <w:rPr>
          <w:rFonts w:ascii="Arial" w:hAnsi="Arial" w:cs="Arial"/>
          <w:sz w:val="20"/>
          <w:szCs w:val="20"/>
          <w:lang w:val="en-US"/>
        </w:rPr>
        <w:t>Global 2030</w:t>
      </w:r>
      <w:r w:rsidR="005203E0">
        <w:rPr>
          <w:rFonts w:ascii="Arial" w:hAnsi="Arial" w:cs="Arial"/>
          <w:sz w:val="20"/>
          <w:szCs w:val="20"/>
          <w:lang w:val="en-US"/>
        </w:rPr>
        <w:t>”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 project, Aesculap has prepared </w:t>
      </w:r>
      <w:r w:rsidR="005203E0">
        <w:rPr>
          <w:rFonts w:ascii="Arial" w:hAnsi="Arial" w:cs="Arial"/>
          <w:sz w:val="20"/>
          <w:szCs w:val="20"/>
          <w:lang w:val="en-US"/>
        </w:rPr>
        <w:t xml:space="preserve">their 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intralogistics </w:t>
      </w:r>
      <w:r w:rsidR="005203E0">
        <w:rPr>
          <w:rFonts w:ascii="Arial" w:hAnsi="Arial" w:cs="Arial"/>
          <w:sz w:val="20"/>
          <w:szCs w:val="20"/>
          <w:lang w:val="en-US"/>
        </w:rPr>
        <w:t xml:space="preserve">system 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for the growth forecast for the coming years. </w:t>
      </w:r>
      <w:r w:rsidR="005203E0">
        <w:rPr>
          <w:rFonts w:ascii="Arial" w:hAnsi="Arial" w:cs="Arial"/>
          <w:sz w:val="20"/>
          <w:szCs w:val="20"/>
          <w:lang w:val="en-US"/>
        </w:rPr>
        <w:t>“</w:t>
      </w:r>
      <w:r w:rsidRPr="00AF6D0A">
        <w:rPr>
          <w:rFonts w:ascii="Arial" w:hAnsi="Arial" w:cs="Arial"/>
          <w:sz w:val="20"/>
          <w:szCs w:val="20"/>
          <w:lang w:val="en-US"/>
        </w:rPr>
        <w:t>We had reached performance and volume</w:t>
      </w:r>
      <w:r w:rsidR="005203E0">
        <w:rPr>
          <w:rFonts w:ascii="Arial" w:hAnsi="Arial" w:cs="Arial"/>
          <w:sz w:val="20"/>
          <w:szCs w:val="20"/>
          <w:lang w:val="en-US"/>
        </w:rPr>
        <w:t xml:space="preserve"> limits</w:t>
      </w:r>
      <w:r w:rsidRPr="00AF6D0A">
        <w:rPr>
          <w:rFonts w:ascii="Arial" w:hAnsi="Arial" w:cs="Arial"/>
          <w:sz w:val="20"/>
          <w:szCs w:val="20"/>
          <w:lang w:val="en-US"/>
        </w:rPr>
        <w:t>. Flexibility, stable processes</w:t>
      </w:r>
      <w:r w:rsidR="005203E0">
        <w:rPr>
          <w:rFonts w:ascii="Arial" w:hAnsi="Arial" w:cs="Arial"/>
          <w:sz w:val="20"/>
          <w:szCs w:val="20"/>
          <w:lang w:val="en-US"/>
        </w:rPr>
        <w:t>,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 and high reliability were particularly important to us </w:t>
      </w:r>
      <w:r w:rsidR="005203E0">
        <w:rPr>
          <w:rFonts w:ascii="Arial" w:hAnsi="Arial" w:cs="Arial"/>
          <w:sz w:val="20"/>
          <w:szCs w:val="20"/>
          <w:lang w:val="en-US"/>
        </w:rPr>
        <w:t>as we set out to expand the system</w:t>
      </w:r>
      <w:r w:rsidRPr="00AF6D0A">
        <w:rPr>
          <w:rFonts w:ascii="Arial" w:hAnsi="Arial" w:cs="Arial"/>
          <w:sz w:val="20"/>
          <w:szCs w:val="20"/>
          <w:lang w:val="en-US"/>
        </w:rPr>
        <w:t>,</w:t>
      </w:r>
      <w:r w:rsidR="005203E0">
        <w:rPr>
          <w:rFonts w:ascii="Arial" w:hAnsi="Arial" w:cs="Arial"/>
          <w:sz w:val="20"/>
          <w:szCs w:val="20"/>
          <w:lang w:val="en-US"/>
        </w:rPr>
        <w:t>”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 </w:t>
      </w:r>
      <w:r w:rsidR="0011306C">
        <w:rPr>
          <w:rFonts w:ascii="Arial" w:hAnsi="Arial" w:cs="Arial"/>
          <w:sz w:val="20"/>
          <w:szCs w:val="20"/>
          <w:lang w:val="en-US"/>
        </w:rPr>
        <w:t xml:space="preserve">says 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Bernd Hermle, Head of Logistics at Aesculap AG. </w:t>
      </w:r>
      <w:r w:rsidR="0011306C">
        <w:rPr>
          <w:rFonts w:ascii="Arial" w:hAnsi="Arial" w:cs="Arial"/>
          <w:sz w:val="20"/>
          <w:szCs w:val="20"/>
          <w:lang w:val="en-US"/>
        </w:rPr>
        <w:t>“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We can </w:t>
      </w:r>
      <w:r w:rsidR="0011306C">
        <w:rPr>
          <w:rFonts w:ascii="Arial" w:hAnsi="Arial" w:cs="Arial"/>
          <w:sz w:val="20"/>
          <w:szCs w:val="20"/>
          <w:lang w:val="en-US"/>
        </w:rPr>
        <w:t xml:space="preserve">now 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prioritize </w:t>
      </w:r>
      <w:r w:rsidR="0011306C">
        <w:rPr>
          <w:rFonts w:ascii="Arial" w:hAnsi="Arial" w:cs="Arial"/>
          <w:sz w:val="20"/>
          <w:szCs w:val="20"/>
          <w:lang w:val="en-US"/>
        </w:rPr>
        <w:t xml:space="preserve">the 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orders in our system. If an order is received by </w:t>
      </w:r>
      <w:r w:rsidR="0011306C">
        <w:rPr>
          <w:rFonts w:ascii="Arial" w:hAnsi="Arial" w:cs="Arial"/>
          <w:sz w:val="20"/>
          <w:szCs w:val="20"/>
          <w:lang w:val="en-US"/>
        </w:rPr>
        <w:t>5 pm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, European customers </w:t>
      </w:r>
      <w:r w:rsidR="0011306C">
        <w:rPr>
          <w:rFonts w:ascii="Arial" w:hAnsi="Arial" w:cs="Arial"/>
          <w:sz w:val="20"/>
          <w:szCs w:val="20"/>
          <w:lang w:val="en-US"/>
        </w:rPr>
        <w:t xml:space="preserve">will 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receive their </w:t>
      </w:r>
      <w:r w:rsidR="0011306C">
        <w:rPr>
          <w:rFonts w:ascii="Arial" w:hAnsi="Arial" w:cs="Arial"/>
          <w:sz w:val="20"/>
          <w:szCs w:val="20"/>
          <w:lang w:val="en-US"/>
        </w:rPr>
        <w:t>supplies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 the very next day </w:t>
      </w:r>
      <w:r w:rsidR="0011306C">
        <w:rPr>
          <w:rFonts w:ascii="Arial" w:hAnsi="Arial" w:cs="Arial"/>
          <w:sz w:val="20"/>
          <w:szCs w:val="20"/>
          <w:lang w:val="en-US"/>
        </w:rPr>
        <w:t xml:space="preserve">– and </w:t>
      </w:r>
      <w:r w:rsidR="00B117E1">
        <w:rPr>
          <w:rFonts w:ascii="Arial" w:hAnsi="Arial" w:cs="Arial"/>
          <w:sz w:val="20"/>
          <w:szCs w:val="20"/>
          <w:lang w:val="en-US"/>
        </w:rPr>
        <w:t>anywhere in the world</w:t>
      </w:r>
      <w:r w:rsidRPr="00AF6D0A">
        <w:rPr>
          <w:rFonts w:ascii="Arial" w:hAnsi="Arial" w:cs="Arial"/>
          <w:sz w:val="20"/>
          <w:szCs w:val="20"/>
          <w:lang w:val="en-US"/>
        </w:rPr>
        <w:t xml:space="preserve"> within one to three days</w:t>
      </w:r>
      <w:r w:rsidR="0011306C">
        <w:rPr>
          <w:rFonts w:ascii="Arial" w:hAnsi="Arial" w:cs="Arial"/>
          <w:sz w:val="20"/>
          <w:szCs w:val="20"/>
          <w:lang w:val="en-US"/>
        </w:rPr>
        <w:t>.”</w:t>
      </w:r>
    </w:p>
    <w:p w14:paraId="7F28450E" w14:textId="77777777" w:rsidR="00AF6D0A" w:rsidRPr="00AF6D0A" w:rsidRDefault="00AF6D0A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CBE0CA2" w14:textId="363115D8" w:rsidR="008E4F78" w:rsidRPr="0011306C" w:rsidRDefault="0011306C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1306C">
        <w:rPr>
          <w:rFonts w:ascii="Arial" w:hAnsi="Arial" w:cs="Arial"/>
          <w:b/>
          <w:sz w:val="20"/>
          <w:szCs w:val="20"/>
          <w:lang w:val="en-US"/>
        </w:rPr>
        <w:t>The first step: Software u</w:t>
      </w:r>
      <w:r>
        <w:rPr>
          <w:rFonts w:ascii="Arial" w:hAnsi="Arial" w:cs="Arial"/>
          <w:b/>
          <w:sz w:val="20"/>
          <w:szCs w:val="20"/>
          <w:lang w:val="en-US"/>
        </w:rPr>
        <w:t>pgrad</w:t>
      </w:r>
      <w:r w:rsidR="003165B6">
        <w:rPr>
          <w:rFonts w:ascii="Arial" w:hAnsi="Arial" w:cs="Arial"/>
          <w:b/>
          <w:sz w:val="20"/>
          <w:szCs w:val="20"/>
          <w:lang w:val="en-US"/>
        </w:rPr>
        <w:t>ing</w:t>
      </w:r>
    </w:p>
    <w:p w14:paraId="11F77F2B" w14:textId="77777777" w:rsidR="008E4F78" w:rsidRPr="0011306C" w:rsidRDefault="008E4F78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US"/>
        </w:rPr>
      </w:pPr>
    </w:p>
    <w:p w14:paraId="05227D40" w14:textId="3710C17F" w:rsidR="008E4F78" w:rsidRPr="00F22989" w:rsidRDefault="003165B6" w:rsidP="008058FF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  <w:lang w:val="en-US"/>
        </w:rPr>
      </w:pPr>
      <w:r w:rsidRPr="003165B6">
        <w:rPr>
          <w:rFonts w:ascii="Arial" w:hAnsi="Arial" w:cs="Arial"/>
          <w:sz w:val="20"/>
          <w:szCs w:val="20"/>
          <w:lang w:val="en-US"/>
        </w:rPr>
        <w:t xml:space="preserve">Prerequisite to the project was an extensive TGW software upgrade. </w:t>
      </w:r>
      <w:r w:rsidR="00B117E1">
        <w:rPr>
          <w:rFonts w:ascii="Arial" w:hAnsi="Arial" w:cs="Arial"/>
          <w:sz w:val="20"/>
          <w:szCs w:val="20"/>
          <w:lang w:val="en-US"/>
        </w:rPr>
        <w:t>C</w:t>
      </w:r>
      <w:r w:rsidRPr="003165B6">
        <w:rPr>
          <w:rFonts w:ascii="Arial" w:hAnsi="Arial" w:cs="Arial"/>
          <w:sz w:val="20"/>
          <w:szCs w:val="20"/>
          <w:lang w:val="en-US"/>
        </w:rPr>
        <w:t xml:space="preserve">onversion was necessary in order to seamlessly connect the existing system with the new areas such as the shuttle, and to create a homogeneous end-to-end system. </w:t>
      </w:r>
      <w:r w:rsidR="00B117E1">
        <w:rPr>
          <w:rFonts w:ascii="Arial" w:hAnsi="Arial" w:cs="Arial"/>
          <w:sz w:val="20"/>
          <w:szCs w:val="20"/>
          <w:lang w:val="en-US"/>
        </w:rPr>
        <w:t>“</w:t>
      </w:r>
      <w:r w:rsidR="008058FF">
        <w:rPr>
          <w:rFonts w:ascii="Arial" w:hAnsi="Arial" w:cs="Arial"/>
          <w:sz w:val="20"/>
          <w:szCs w:val="20"/>
          <w:lang w:val="en-US"/>
        </w:rPr>
        <w:t xml:space="preserve">We are very </w:t>
      </w:r>
      <w:r w:rsidRPr="003165B6">
        <w:rPr>
          <w:rFonts w:ascii="Arial" w:hAnsi="Arial" w:cs="Arial"/>
          <w:sz w:val="20"/>
          <w:szCs w:val="20"/>
          <w:lang w:val="en-US"/>
        </w:rPr>
        <w:t xml:space="preserve">pleased that we were able to satisfy </w:t>
      </w:r>
      <w:r w:rsidR="00B117E1">
        <w:rPr>
          <w:rFonts w:ascii="Arial" w:hAnsi="Arial" w:cs="Arial"/>
          <w:sz w:val="20"/>
          <w:szCs w:val="20"/>
          <w:lang w:val="en-US"/>
        </w:rPr>
        <w:t>customer</w:t>
      </w:r>
      <w:r w:rsidRPr="003165B6">
        <w:rPr>
          <w:rFonts w:ascii="Arial" w:hAnsi="Arial" w:cs="Arial"/>
          <w:sz w:val="20"/>
          <w:szCs w:val="20"/>
          <w:lang w:val="en-US"/>
        </w:rPr>
        <w:t xml:space="preserve"> </w:t>
      </w:r>
      <w:r w:rsidR="00B117E1">
        <w:rPr>
          <w:rFonts w:ascii="Arial" w:hAnsi="Arial" w:cs="Arial"/>
          <w:sz w:val="20"/>
          <w:szCs w:val="20"/>
          <w:lang w:val="en-US"/>
        </w:rPr>
        <w:t xml:space="preserve">needs </w:t>
      </w:r>
      <w:r w:rsidRPr="003165B6">
        <w:rPr>
          <w:rFonts w:ascii="Arial" w:hAnsi="Arial" w:cs="Arial"/>
          <w:sz w:val="20"/>
          <w:szCs w:val="20"/>
          <w:lang w:val="en-US"/>
        </w:rPr>
        <w:t>with our mechatronics, control</w:t>
      </w:r>
      <w:r w:rsidR="00716E04">
        <w:rPr>
          <w:rFonts w:ascii="Arial" w:hAnsi="Arial" w:cs="Arial"/>
          <w:sz w:val="20"/>
          <w:szCs w:val="20"/>
          <w:lang w:val="en-US"/>
        </w:rPr>
        <w:t>s</w:t>
      </w:r>
      <w:bookmarkStart w:id="0" w:name="_GoBack"/>
      <w:bookmarkEnd w:id="0"/>
      <w:r w:rsidRPr="003165B6">
        <w:rPr>
          <w:rFonts w:ascii="Arial" w:hAnsi="Arial" w:cs="Arial"/>
          <w:sz w:val="20"/>
          <w:szCs w:val="20"/>
          <w:lang w:val="en-US"/>
        </w:rPr>
        <w:t xml:space="preserve"> and software package,</w:t>
      </w:r>
      <w:r w:rsidR="00B117E1">
        <w:rPr>
          <w:rFonts w:ascii="Arial" w:hAnsi="Arial" w:cs="Arial"/>
          <w:sz w:val="20"/>
          <w:szCs w:val="20"/>
          <w:lang w:val="en-US"/>
        </w:rPr>
        <w:t>”</w:t>
      </w:r>
      <w:r w:rsidRPr="003165B6">
        <w:rPr>
          <w:rFonts w:ascii="Arial" w:hAnsi="Arial" w:cs="Arial"/>
          <w:sz w:val="20"/>
          <w:szCs w:val="20"/>
          <w:lang w:val="en-US"/>
        </w:rPr>
        <w:t xml:space="preserve"> emphasizes Christoph Wolkerstorfer, CSO of TGW Logistics Group. Bernd Hermle adds: </w:t>
      </w:r>
      <w:r w:rsidR="008058FF">
        <w:rPr>
          <w:rFonts w:ascii="Arial" w:hAnsi="Arial" w:cs="Arial"/>
          <w:sz w:val="20"/>
          <w:szCs w:val="20"/>
          <w:lang w:val="en-US"/>
        </w:rPr>
        <w:t xml:space="preserve"> </w:t>
      </w:r>
      <w:r w:rsidR="00964C16">
        <w:rPr>
          <w:rFonts w:ascii="Arial" w:hAnsi="Arial" w:cs="Arial"/>
          <w:sz w:val="20"/>
          <w:szCs w:val="20"/>
          <w:lang w:val="en-US"/>
        </w:rPr>
        <w:t>“</w:t>
      </w:r>
      <w:r w:rsidRPr="003165B6">
        <w:rPr>
          <w:rFonts w:ascii="Arial" w:hAnsi="Arial" w:cs="Arial"/>
          <w:sz w:val="20"/>
          <w:szCs w:val="20"/>
          <w:lang w:val="en-US"/>
        </w:rPr>
        <w:t>Of course, a large, complex project has to survive many a critical phase. But the top-not</w:t>
      </w:r>
      <w:r>
        <w:rPr>
          <w:rFonts w:ascii="Arial" w:hAnsi="Arial" w:cs="Arial"/>
          <w:sz w:val="20"/>
          <w:szCs w:val="20"/>
          <w:lang w:val="en-US"/>
        </w:rPr>
        <w:t>ch</w:t>
      </w:r>
      <w:r w:rsidRPr="003165B6">
        <w:rPr>
          <w:rFonts w:ascii="Arial" w:hAnsi="Arial" w:cs="Arial"/>
          <w:sz w:val="20"/>
          <w:szCs w:val="20"/>
          <w:lang w:val="en-US"/>
        </w:rPr>
        <w:t xml:space="preserve"> results are proof of </w:t>
      </w:r>
      <w:r w:rsidR="00F22989">
        <w:rPr>
          <w:rFonts w:ascii="Arial" w:hAnsi="Arial" w:cs="Arial"/>
          <w:sz w:val="20"/>
          <w:szCs w:val="20"/>
          <w:lang w:val="en-US"/>
        </w:rPr>
        <w:t xml:space="preserve">great </w:t>
      </w:r>
      <w:r w:rsidRPr="003165B6">
        <w:rPr>
          <w:rFonts w:ascii="Arial" w:hAnsi="Arial" w:cs="Arial"/>
          <w:sz w:val="20"/>
          <w:szCs w:val="20"/>
          <w:lang w:val="en-US"/>
        </w:rPr>
        <w:t xml:space="preserve">cooperation with TGW. </w:t>
      </w:r>
      <w:r w:rsidRPr="00F22989">
        <w:rPr>
          <w:rFonts w:ascii="Arial" w:hAnsi="Arial" w:cs="Arial"/>
          <w:sz w:val="20"/>
          <w:szCs w:val="20"/>
          <w:lang w:val="en-US"/>
        </w:rPr>
        <w:t>Thank you so much for that!</w:t>
      </w:r>
      <w:r w:rsidR="00964C16">
        <w:rPr>
          <w:rFonts w:ascii="Arial" w:hAnsi="Arial" w:cs="Arial"/>
          <w:sz w:val="20"/>
          <w:szCs w:val="20"/>
          <w:lang w:val="en-US"/>
        </w:rPr>
        <w:t>”</w:t>
      </w:r>
    </w:p>
    <w:p w14:paraId="172BAF4F" w14:textId="77777777" w:rsidR="008E4F78" w:rsidRPr="00F22989" w:rsidRDefault="008E4F78" w:rsidP="008058F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01F11FE0" w14:textId="77777777" w:rsidR="008E4F78" w:rsidRPr="00F22989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1A60945E" w14:textId="5A50FE2B" w:rsidR="008E4F78" w:rsidRPr="00F22989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0339A73" w14:textId="59341AAB" w:rsidR="00E93796" w:rsidRPr="00F22989" w:rsidRDefault="00E9379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3EF007AF" w14:textId="1A6C1353" w:rsidR="00E93796" w:rsidRPr="00F22989" w:rsidRDefault="00E9379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3F2E20F5" w14:textId="2442BBDB" w:rsidR="00E93796" w:rsidRPr="00F22989" w:rsidRDefault="00E9379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2F2D9527" w14:textId="39019936" w:rsidR="00E93796" w:rsidRPr="00F22989" w:rsidRDefault="00E9379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0D5F6C16" w14:textId="221AF7F4" w:rsidR="00E93796" w:rsidRDefault="00E9379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FA70FD2" w14:textId="34A90722" w:rsidR="00B31D7E" w:rsidRDefault="00B31D7E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53836D01" w14:textId="003C2F21" w:rsidR="00B31D7E" w:rsidRDefault="00B31D7E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1FE8C2CE" w14:textId="77777777" w:rsidR="00B31D7E" w:rsidRPr="00F22989" w:rsidRDefault="00B31D7E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DDE69A0" w14:textId="77777777" w:rsidR="003F210C" w:rsidRPr="00F22989" w:rsidRDefault="003F210C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5F7A8642" w14:textId="0E2DD56A" w:rsidR="00A316A6" w:rsidRPr="00F22989" w:rsidRDefault="00A316A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548EDF68" w14:textId="0D1315E1" w:rsidR="00A316A6" w:rsidRPr="00F22989" w:rsidRDefault="00A316A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64360A88" w14:textId="77777777" w:rsidR="00A316A6" w:rsidRPr="007722C3" w:rsidRDefault="00716E04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8" w:history="1">
        <w:r w:rsidR="00170821" w:rsidRPr="007722C3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</w:p>
    <w:p w14:paraId="1B86D572" w14:textId="0793C3AC" w:rsidR="00F22989" w:rsidRPr="005B0BC1" w:rsidRDefault="00F22989" w:rsidP="00F22989">
      <w:pPr>
        <w:spacing w:line="240" w:lineRule="auto"/>
        <w:ind w:right="1843"/>
        <w:rPr>
          <w:rStyle w:val="Hyperlink"/>
          <w:b/>
          <w:color w:val="auto"/>
          <w:sz w:val="22"/>
          <w:u w:val="none"/>
          <w:lang w:val="en-AU"/>
        </w:rPr>
      </w:pPr>
      <w:r w:rsidRPr="005B0BC1">
        <w:rPr>
          <w:rStyle w:val="Hyperlink"/>
          <w:b/>
          <w:color w:val="auto"/>
          <w:sz w:val="22"/>
          <w:u w:val="none"/>
          <w:lang w:val="en-AU"/>
        </w:rPr>
        <w:t>About TGW Logistics Group:</w:t>
      </w:r>
    </w:p>
    <w:p w14:paraId="1EB7404C" w14:textId="779C2E17" w:rsidR="00F22989" w:rsidRPr="005B0BC1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en-US"/>
        </w:rPr>
      </w:pPr>
      <w:r w:rsidRPr="005B0BC1">
        <w:rPr>
          <w:rStyle w:val="Hyperlink"/>
          <w:color w:val="auto"/>
          <w:sz w:val="22"/>
          <w:u w:val="none"/>
          <w:lang w:val="en-US"/>
        </w:rPr>
        <w:t xml:space="preserve">TGW Logistics Group is a worldwide leading provider of intralogistics solutions. For 50 years this Austrian specialist has been providing automated systems for international customers from </w:t>
      </w:r>
      <w:proofErr w:type="gramStart"/>
      <w:r w:rsidRPr="005B0BC1">
        <w:rPr>
          <w:rStyle w:val="Hyperlink"/>
          <w:color w:val="auto"/>
          <w:sz w:val="22"/>
          <w:u w:val="none"/>
          <w:lang w:val="en-US"/>
        </w:rPr>
        <w:t>A</w:t>
      </w:r>
      <w:proofErr w:type="gramEnd"/>
      <w:r w:rsidRPr="005B0BC1">
        <w:rPr>
          <w:rStyle w:val="Hyperlink"/>
          <w:color w:val="auto"/>
          <w:sz w:val="22"/>
          <w:u w:val="none"/>
          <w:lang w:val="en-US"/>
        </w:rPr>
        <w:t xml:space="preserve"> as in Adidas to Z as in Zalando. As a systems integrator, TGW provides planning, production, and </w:t>
      </w:r>
      <w:r w:rsidRPr="005B0BC1">
        <w:rPr>
          <w:rStyle w:val="Hyperlink"/>
          <w:color w:val="auto"/>
          <w:sz w:val="22"/>
          <w:u w:val="none"/>
          <w:lang w:val="en-US"/>
        </w:rPr>
        <w:lastRenderedPageBreak/>
        <w:t>implementation of complex logistics centers –from mechatronics to robotics and from control systems to software solutions.</w:t>
      </w:r>
    </w:p>
    <w:p w14:paraId="772A5AD4" w14:textId="77777777" w:rsidR="00F22989" w:rsidRPr="0021702A" w:rsidRDefault="00F22989" w:rsidP="00F22989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2EEB7233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en-US"/>
        </w:rPr>
      </w:pPr>
      <w:r w:rsidRPr="00F22989">
        <w:rPr>
          <w:rStyle w:val="Hyperlink"/>
          <w:color w:val="auto"/>
          <w:sz w:val="22"/>
          <w:u w:val="none"/>
          <w:lang w:val="en-US"/>
        </w:rPr>
        <w:t>With approximately 3,300 employees, TGW Logistics Group has offices in Europe, China, and in the U.S.A. In the 2017/2018 business year the company achieved a total turnover of € 713 million.</w:t>
      </w:r>
    </w:p>
    <w:p w14:paraId="1988D9AF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en-US"/>
        </w:rPr>
      </w:pPr>
    </w:p>
    <w:p w14:paraId="3213C92B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en-US"/>
        </w:rPr>
      </w:pPr>
    </w:p>
    <w:p w14:paraId="3C19521C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en-US"/>
        </w:rPr>
      </w:pPr>
    </w:p>
    <w:p w14:paraId="326FCDB2" w14:textId="77777777" w:rsidR="00F22989" w:rsidRPr="00F22989" w:rsidRDefault="00F22989" w:rsidP="00F22989">
      <w:pPr>
        <w:spacing w:line="240" w:lineRule="auto"/>
        <w:ind w:right="1843"/>
        <w:rPr>
          <w:rStyle w:val="Hyperlink"/>
          <w:b/>
          <w:color w:val="auto"/>
          <w:sz w:val="22"/>
          <w:u w:val="none"/>
          <w:lang w:val="en-US"/>
        </w:rPr>
      </w:pPr>
      <w:r w:rsidRPr="00F22989">
        <w:rPr>
          <w:rStyle w:val="Hyperlink"/>
          <w:b/>
          <w:color w:val="auto"/>
          <w:sz w:val="22"/>
          <w:u w:val="none"/>
          <w:lang w:val="en-US"/>
        </w:rPr>
        <w:t>Reprints:</w:t>
      </w:r>
    </w:p>
    <w:p w14:paraId="0632F11F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en-US"/>
        </w:rPr>
      </w:pPr>
      <w:r w:rsidRPr="00F22989">
        <w:rPr>
          <w:rStyle w:val="Hyperlink"/>
          <w:color w:val="auto"/>
          <w:sz w:val="22"/>
          <w:u w:val="none"/>
          <w:lang w:val="en-US"/>
        </w:rPr>
        <w:t>Images reprinted for press reports featuring primarily TGW Logistics Group may be used free of charge and under citation of the source. No free reprints for promotional purposes.</w:t>
      </w:r>
    </w:p>
    <w:p w14:paraId="6B58E25D" w14:textId="77777777" w:rsidR="00F22989" w:rsidRPr="00F673DB" w:rsidRDefault="00F22989" w:rsidP="00F22989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4BF0FB27" w14:textId="77777777" w:rsidR="00F22989" w:rsidRPr="00F22989" w:rsidRDefault="00F22989" w:rsidP="00F22989">
      <w:pPr>
        <w:spacing w:line="240" w:lineRule="auto"/>
        <w:ind w:right="1843"/>
        <w:rPr>
          <w:rStyle w:val="Hyperlink"/>
          <w:b/>
          <w:color w:val="auto"/>
          <w:sz w:val="22"/>
          <w:u w:val="none"/>
          <w:lang w:val="en-US"/>
        </w:rPr>
      </w:pPr>
      <w:r w:rsidRPr="00F22989">
        <w:rPr>
          <w:rStyle w:val="Hyperlink"/>
          <w:b/>
          <w:color w:val="auto"/>
          <w:sz w:val="22"/>
          <w:u w:val="none"/>
          <w:lang w:val="en-US"/>
        </w:rPr>
        <w:t>Contact:</w:t>
      </w:r>
    </w:p>
    <w:p w14:paraId="76DFDA43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en-US"/>
        </w:rPr>
      </w:pPr>
      <w:r w:rsidRPr="00F22989">
        <w:rPr>
          <w:rStyle w:val="Hyperlink"/>
          <w:color w:val="auto"/>
          <w:sz w:val="22"/>
          <w:u w:val="none"/>
          <w:lang w:val="en-US"/>
        </w:rPr>
        <w:t>TGW Logistics Group GmbH</w:t>
      </w:r>
    </w:p>
    <w:p w14:paraId="04C5270B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</w:rPr>
      </w:pPr>
      <w:r w:rsidRPr="00F22989">
        <w:rPr>
          <w:rStyle w:val="Hyperlink"/>
          <w:color w:val="auto"/>
          <w:sz w:val="22"/>
          <w:u w:val="none"/>
        </w:rPr>
        <w:t>A-4614 Marchtrenk, Ludwig Szinicz Strasse 3</w:t>
      </w:r>
    </w:p>
    <w:p w14:paraId="1A777749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</w:rPr>
      </w:pPr>
      <w:r w:rsidRPr="00F22989">
        <w:rPr>
          <w:rStyle w:val="Hyperlink"/>
          <w:color w:val="auto"/>
          <w:sz w:val="22"/>
          <w:u w:val="none"/>
        </w:rPr>
        <w:t>T: +43.(0)50.486-0</w:t>
      </w:r>
    </w:p>
    <w:p w14:paraId="7427FE63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</w:rPr>
      </w:pPr>
      <w:r w:rsidRPr="00F22989">
        <w:rPr>
          <w:rStyle w:val="Hyperlink"/>
          <w:color w:val="auto"/>
          <w:sz w:val="22"/>
          <w:u w:val="none"/>
        </w:rPr>
        <w:t>F: +43.(0)50.486-31</w:t>
      </w:r>
    </w:p>
    <w:p w14:paraId="3D57181F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</w:rPr>
      </w:pPr>
      <w:r w:rsidRPr="00F22989">
        <w:rPr>
          <w:rStyle w:val="Hyperlink"/>
          <w:color w:val="auto"/>
          <w:sz w:val="22"/>
          <w:u w:val="none"/>
        </w:rPr>
        <w:t>E-Mail: tgw@tgw-group.com</w:t>
      </w:r>
    </w:p>
    <w:p w14:paraId="5145365A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</w:rPr>
      </w:pPr>
    </w:p>
    <w:p w14:paraId="4C123EA0" w14:textId="77777777" w:rsidR="00443076" w:rsidRDefault="00443076" w:rsidP="00F22989">
      <w:pPr>
        <w:spacing w:line="240" w:lineRule="auto"/>
        <w:ind w:right="1843"/>
        <w:rPr>
          <w:rStyle w:val="Hyperlink"/>
          <w:b/>
          <w:color w:val="auto"/>
          <w:sz w:val="22"/>
          <w:u w:val="none"/>
          <w:lang w:val="en-AU"/>
        </w:rPr>
      </w:pPr>
    </w:p>
    <w:p w14:paraId="6742F369" w14:textId="36B4AB09" w:rsidR="00F22989" w:rsidRDefault="00F22989" w:rsidP="00F22989">
      <w:pPr>
        <w:spacing w:line="240" w:lineRule="auto"/>
        <w:ind w:right="1843"/>
        <w:rPr>
          <w:rStyle w:val="Hyperlink"/>
          <w:b/>
          <w:color w:val="auto"/>
          <w:sz w:val="22"/>
          <w:u w:val="none"/>
          <w:lang w:val="en-AU"/>
        </w:rPr>
      </w:pPr>
      <w:r w:rsidRPr="00F22989">
        <w:rPr>
          <w:rStyle w:val="Hyperlink"/>
          <w:b/>
          <w:color w:val="auto"/>
          <w:sz w:val="22"/>
          <w:u w:val="none"/>
          <w:lang w:val="en-AU"/>
        </w:rPr>
        <w:t>Press contacts:</w:t>
      </w:r>
    </w:p>
    <w:p w14:paraId="74006737" w14:textId="77777777" w:rsidR="00B31D7E" w:rsidRPr="00F22989" w:rsidRDefault="00B31D7E" w:rsidP="00B31D7E">
      <w:pPr>
        <w:spacing w:line="240" w:lineRule="auto"/>
        <w:ind w:right="1843"/>
        <w:rPr>
          <w:rStyle w:val="Hyperlink"/>
          <w:color w:val="auto"/>
          <w:sz w:val="22"/>
          <w:u w:val="none"/>
          <w:lang w:val="en-AU"/>
        </w:rPr>
      </w:pPr>
      <w:r w:rsidRPr="00F22989">
        <w:rPr>
          <w:rStyle w:val="Hyperlink"/>
          <w:color w:val="auto"/>
          <w:sz w:val="22"/>
          <w:u w:val="none"/>
          <w:lang w:val="en-AU"/>
        </w:rPr>
        <w:t>Alexander Tahedl</w:t>
      </w:r>
    </w:p>
    <w:p w14:paraId="4E848E82" w14:textId="77777777" w:rsidR="00B31D7E" w:rsidRPr="00F22989" w:rsidRDefault="00B31D7E" w:rsidP="00B31D7E">
      <w:pPr>
        <w:spacing w:line="240" w:lineRule="auto"/>
        <w:ind w:right="1843"/>
        <w:rPr>
          <w:rStyle w:val="Hyperlink"/>
          <w:color w:val="auto"/>
          <w:sz w:val="22"/>
          <w:u w:val="none"/>
          <w:lang w:val="en-AU"/>
        </w:rPr>
      </w:pPr>
      <w:r w:rsidRPr="00F22989">
        <w:rPr>
          <w:rStyle w:val="Hyperlink"/>
          <w:color w:val="auto"/>
          <w:sz w:val="22"/>
          <w:u w:val="none"/>
          <w:lang w:val="en-AU"/>
        </w:rPr>
        <w:t>Marketing</w:t>
      </w:r>
      <w:r>
        <w:rPr>
          <w:rStyle w:val="Hyperlink"/>
          <w:color w:val="auto"/>
          <w:sz w:val="22"/>
          <w:u w:val="none"/>
          <w:lang w:val="en-AU"/>
        </w:rPr>
        <w:t xml:space="preserve"> &amp; Communications</w:t>
      </w:r>
      <w:r w:rsidRPr="00F22989">
        <w:rPr>
          <w:rStyle w:val="Hyperlink"/>
          <w:color w:val="auto"/>
          <w:sz w:val="22"/>
          <w:u w:val="none"/>
          <w:lang w:val="en-AU"/>
        </w:rPr>
        <w:t xml:space="preserve"> Specialist</w:t>
      </w:r>
    </w:p>
    <w:p w14:paraId="4E5BEFDC" w14:textId="77777777" w:rsidR="00B31D7E" w:rsidRPr="00F22989" w:rsidRDefault="00B31D7E" w:rsidP="00B31D7E">
      <w:pPr>
        <w:spacing w:line="240" w:lineRule="auto"/>
        <w:ind w:right="1843"/>
        <w:rPr>
          <w:rStyle w:val="Hyperlink"/>
          <w:color w:val="auto"/>
          <w:sz w:val="22"/>
          <w:u w:val="none"/>
          <w:lang w:val="en-US"/>
        </w:rPr>
      </w:pPr>
      <w:r w:rsidRPr="00F22989">
        <w:rPr>
          <w:rStyle w:val="Hyperlink"/>
          <w:color w:val="auto"/>
          <w:sz w:val="22"/>
          <w:u w:val="none"/>
          <w:lang w:val="en-US"/>
        </w:rPr>
        <w:t>T: +43.(0)50.486-2267</w:t>
      </w:r>
    </w:p>
    <w:p w14:paraId="380DB492" w14:textId="77777777" w:rsidR="00B31D7E" w:rsidRPr="00F22989" w:rsidRDefault="00B31D7E" w:rsidP="00B31D7E">
      <w:pPr>
        <w:spacing w:line="240" w:lineRule="auto"/>
        <w:ind w:right="1843"/>
        <w:rPr>
          <w:rStyle w:val="Hyperlink"/>
          <w:color w:val="auto"/>
          <w:sz w:val="22"/>
          <w:u w:val="none"/>
          <w:lang w:val="en-US"/>
        </w:rPr>
      </w:pPr>
      <w:r w:rsidRPr="00F22989">
        <w:rPr>
          <w:rStyle w:val="Hyperlink"/>
          <w:color w:val="auto"/>
          <w:sz w:val="22"/>
          <w:u w:val="none"/>
          <w:lang w:val="en-US"/>
        </w:rPr>
        <w:t>M: +43.(0)664.88459713</w:t>
      </w:r>
    </w:p>
    <w:p w14:paraId="00D5233A" w14:textId="77777777" w:rsidR="00B31D7E" w:rsidRPr="00F22989" w:rsidRDefault="00B31D7E" w:rsidP="00B31D7E">
      <w:pPr>
        <w:spacing w:line="240" w:lineRule="auto"/>
        <w:ind w:right="1843"/>
        <w:rPr>
          <w:sz w:val="22"/>
          <w:lang w:val="en-US"/>
        </w:rPr>
      </w:pPr>
      <w:r w:rsidRPr="00F22989">
        <w:rPr>
          <w:rStyle w:val="Hyperlink"/>
          <w:color w:val="auto"/>
          <w:sz w:val="22"/>
          <w:u w:val="none"/>
          <w:lang w:val="en-US"/>
        </w:rPr>
        <w:t>alexander.tahedl@tgw-group.com</w:t>
      </w:r>
    </w:p>
    <w:p w14:paraId="764472BA" w14:textId="6E2C43CB" w:rsidR="00B31D7E" w:rsidRDefault="00B31D7E" w:rsidP="00F22989">
      <w:pPr>
        <w:spacing w:line="240" w:lineRule="auto"/>
        <w:ind w:right="1843"/>
        <w:rPr>
          <w:rStyle w:val="Hyperlink"/>
          <w:b/>
          <w:color w:val="auto"/>
          <w:sz w:val="22"/>
          <w:u w:val="none"/>
          <w:lang w:val="en-AU"/>
        </w:rPr>
      </w:pPr>
    </w:p>
    <w:p w14:paraId="0E80DF62" w14:textId="26412DB2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en-AU"/>
        </w:rPr>
      </w:pPr>
      <w:r w:rsidRPr="00F22989">
        <w:rPr>
          <w:rStyle w:val="Hyperlink"/>
          <w:color w:val="auto"/>
          <w:sz w:val="22"/>
          <w:u w:val="none"/>
          <w:lang w:val="en-AU"/>
        </w:rPr>
        <w:t>Martin Kirchmayr</w:t>
      </w:r>
    </w:p>
    <w:p w14:paraId="01067D16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en-AU"/>
        </w:rPr>
      </w:pPr>
      <w:r w:rsidRPr="00F22989">
        <w:rPr>
          <w:rStyle w:val="Hyperlink"/>
          <w:color w:val="auto"/>
          <w:sz w:val="22"/>
          <w:u w:val="none"/>
          <w:lang w:val="en-AU"/>
        </w:rPr>
        <w:t>Director Marketing &amp; Communications</w:t>
      </w:r>
    </w:p>
    <w:p w14:paraId="70F9573B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de-AT"/>
        </w:rPr>
      </w:pPr>
      <w:r w:rsidRPr="00F22989">
        <w:rPr>
          <w:rStyle w:val="Hyperlink"/>
          <w:color w:val="auto"/>
          <w:sz w:val="22"/>
          <w:u w:val="none"/>
          <w:lang w:val="de-AT"/>
        </w:rPr>
        <w:t>T: +43.(0)50.486-1382</w:t>
      </w:r>
    </w:p>
    <w:p w14:paraId="28947303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de-AT"/>
        </w:rPr>
      </w:pPr>
      <w:r w:rsidRPr="00F22989">
        <w:rPr>
          <w:rStyle w:val="Hyperlink"/>
          <w:color w:val="auto"/>
          <w:sz w:val="22"/>
          <w:u w:val="none"/>
          <w:lang w:val="de-AT"/>
        </w:rPr>
        <w:t>M: +43.(0)664.8187423</w:t>
      </w:r>
    </w:p>
    <w:p w14:paraId="620D13C7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de-AT"/>
        </w:rPr>
      </w:pPr>
      <w:r w:rsidRPr="00F22989">
        <w:rPr>
          <w:rStyle w:val="Hyperlink"/>
          <w:color w:val="auto"/>
          <w:sz w:val="22"/>
          <w:u w:val="none"/>
          <w:lang w:val="de-AT"/>
        </w:rPr>
        <w:t>martin.kirchmayr@tgw-group.com</w:t>
      </w:r>
    </w:p>
    <w:p w14:paraId="2ABCA365" w14:textId="77777777" w:rsidR="00F22989" w:rsidRPr="00F22989" w:rsidRDefault="00F22989" w:rsidP="00F22989">
      <w:pPr>
        <w:spacing w:line="240" w:lineRule="auto"/>
        <w:ind w:right="1843"/>
        <w:rPr>
          <w:rStyle w:val="Hyperlink"/>
          <w:color w:val="auto"/>
          <w:sz w:val="22"/>
          <w:u w:val="none"/>
          <w:lang w:val="de-AT"/>
        </w:rPr>
      </w:pPr>
    </w:p>
    <w:p w14:paraId="7DC68D03" w14:textId="77777777" w:rsidR="000F039C" w:rsidRPr="000832D4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451CBA4E" w14:textId="77777777" w:rsidR="000F039C" w:rsidRPr="000832D4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134969E6" w14:textId="77777777" w:rsidR="00E36D43" w:rsidRPr="00F22989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AU" w:eastAsia="de-AT"/>
        </w:rPr>
      </w:pPr>
    </w:p>
    <w:sectPr w:rsidR="00E36D43" w:rsidRPr="00F22989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59B7D" w14:textId="77777777" w:rsidR="000070F5" w:rsidRDefault="000070F5" w:rsidP="00764006">
      <w:pPr>
        <w:spacing w:line="240" w:lineRule="auto"/>
      </w:pPr>
      <w:r>
        <w:separator/>
      </w:r>
    </w:p>
  </w:endnote>
  <w:endnote w:type="continuationSeparator" w:id="0">
    <w:p w14:paraId="48FD4305" w14:textId="77777777" w:rsidR="000070F5" w:rsidRDefault="000070F5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3DC29B8C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716E04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DB1A1" w14:textId="77777777" w:rsidR="000070F5" w:rsidRDefault="000070F5" w:rsidP="00764006">
      <w:pPr>
        <w:spacing w:line="240" w:lineRule="auto"/>
      </w:pPr>
      <w:r>
        <w:separator/>
      </w:r>
    </w:p>
  </w:footnote>
  <w:footnote w:type="continuationSeparator" w:id="0">
    <w:p w14:paraId="1AABCA78" w14:textId="77777777" w:rsidR="000070F5" w:rsidRDefault="000070F5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0C000B5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E54C3A">
      <w:t xml:space="preserve"> </w:t>
    </w:r>
    <w:r w:rsidR="008058FF"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6"/>
  </w:num>
  <w:num w:numId="4">
    <w:abstractNumId w:val="26"/>
  </w:num>
  <w:num w:numId="5">
    <w:abstractNumId w:val="15"/>
  </w:num>
  <w:num w:numId="6">
    <w:abstractNumId w:val="4"/>
  </w:num>
  <w:num w:numId="7">
    <w:abstractNumId w:val="18"/>
  </w:num>
  <w:num w:numId="8">
    <w:abstractNumId w:val="13"/>
  </w:num>
  <w:num w:numId="9">
    <w:abstractNumId w:val="23"/>
  </w:num>
  <w:num w:numId="10">
    <w:abstractNumId w:val="3"/>
  </w:num>
  <w:num w:numId="11">
    <w:abstractNumId w:val="7"/>
  </w:num>
  <w:num w:numId="12">
    <w:abstractNumId w:val="20"/>
  </w:num>
  <w:num w:numId="13">
    <w:abstractNumId w:val="21"/>
  </w:num>
  <w:num w:numId="14">
    <w:abstractNumId w:val="25"/>
  </w:num>
  <w:num w:numId="15">
    <w:abstractNumId w:val="27"/>
  </w:num>
  <w:num w:numId="16">
    <w:abstractNumId w:val="5"/>
  </w:num>
  <w:num w:numId="17">
    <w:abstractNumId w:val="24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2"/>
  </w:num>
  <w:num w:numId="24">
    <w:abstractNumId w:val="22"/>
  </w:num>
  <w:num w:numId="25">
    <w:abstractNumId w:val="9"/>
  </w:num>
  <w:num w:numId="26">
    <w:abstractNumId w:val="0"/>
  </w:num>
  <w:num w:numId="27">
    <w:abstractNumId w:val="17"/>
  </w:num>
  <w:num w:numId="28">
    <w:abstractNumId w:val="14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0F5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E72"/>
    <w:rsid w:val="00081669"/>
    <w:rsid w:val="00081FA6"/>
    <w:rsid w:val="0008298D"/>
    <w:rsid w:val="0008328C"/>
    <w:rsid w:val="000832D4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A7AC1"/>
    <w:rsid w:val="000B2064"/>
    <w:rsid w:val="000B2D0A"/>
    <w:rsid w:val="000B3432"/>
    <w:rsid w:val="000B3A42"/>
    <w:rsid w:val="000B6520"/>
    <w:rsid w:val="000B6892"/>
    <w:rsid w:val="000B697D"/>
    <w:rsid w:val="000B6B32"/>
    <w:rsid w:val="000B6D90"/>
    <w:rsid w:val="000B6DBD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306C"/>
    <w:rsid w:val="00113DF1"/>
    <w:rsid w:val="0011552B"/>
    <w:rsid w:val="00117307"/>
    <w:rsid w:val="00120A0D"/>
    <w:rsid w:val="00121757"/>
    <w:rsid w:val="00123A1C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411C5"/>
    <w:rsid w:val="00141294"/>
    <w:rsid w:val="00141B16"/>
    <w:rsid w:val="00141F13"/>
    <w:rsid w:val="00142118"/>
    <w:rsid w:val="001436B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B0377"/>
    <w:rsid w:val="001B148A"/>
    <w:rsid w:val="001B170E"/>
    <w:rsid w:val="001B1C61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3A7F"/>
    <w:rsid w:val="001C7270"/>
    <w:rsid w:val="001C75F5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2848"/>
    <w:rsid w:val="00222B47"/>
    <w:rsid w:val="00227EC1"/>
    <w:rsid w:val="00230271"/>
    <w:rsid w:val="002305BF"/>
    <w:rsid w:val="0023083C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1DBE"/>
    <w:rsid w:val="00263BEF"/>
    <w:rsid w:val="0026487A"/>
    <w:rsid w:val="00266D58"/>
    <w:rsid w:val="00266E09"/>
    <w:rsid w:val="00267168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067A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39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648D"/>
    <w:rsid w:val="003114D5"/>
    <w:rsid w:val="003122E3"/>
    <w:rsid w:val="00313185"/>
    <w:rsid w:val="0031373B"/>
    <w:rsid w:val="00314C9B"/>
    <w:rsid w:val="003165B6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E625C"/>
    <w:rsid w:val="003F04A3"/>
    <w:rsid w:val="003F0B40"/>
    <w:rsid w:val="003F210C"/>
    <w:rsid w:val="003F2DC7"/>
    <w:rsid w:val="003F6519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040B"/>
    <w:rsid w:val="00411D1C"/>
    <w:rsid w:val="00411E5C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BE8"/>
    <w:rsid w:val="00430D6B"/>
    <w:rsid w:val="00431C20"/>
    <w:rsid w:val="00431E13"/>
    <w:rsid w:val="0043240B"/>
    <w:rsid w:val="00432674"/>
    <w:rsid w:val="0043397C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3076"/>
    <w:rsid w:val="00444BA0"/>
    <w:rsid w:val="004455EB"/>
    <w:rsid w:val="00446BA4"/>
    <w:rsid w:val="004472A0"/>
    <w:rsid w:val="00447A66"/>
    <w:rsid w:val="004502C7"/>
    <w:rsid w:val="00450B34"/>
    <w:rsid w:val="00452350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56E3"/>
    <w:rsid w:val="004A36E5"/>
    <w:rsid w:val="004A4623"/>
    <w:rsid w:val="004A48A6"/>
    <w:rsid w:val="004A4B02"/>
    <w:rsid w:val="004A5DE3"/>
    <w:rsid w:val="004A6B41"/>
    <w:rsid w:val="004A78EA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610"/>
    <w:rsid w:val="00513036"/>
    <w:rsid w:val="00514042"/>
    <w:rsid w:val="005140C0"/>
    <w:rsid w:val="00516F92"/>
    <w:rsid w:val="005202F2"/>
    <w:rsid w:val="005203E0"/>
    <w:rsid w:val="00520D27"/>
    <w:rsid w:val="00521DF4"/>
    <w:rsid w:val="0052421D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30E4"/>
    <w:rsid w:val="00553F78"/>
    <w:rsid w:val="0055503D"/>
    <w:rsid w:val="0055542D"/>
    <w:rsid w:val="00560882"/>
    <w:rsid w:val="005609F6"/>
    <w:rsid w:val="005634F5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1FB9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7FB"/>
    <w:rsid w:val="005A4203"/>
    <w:rsid w:val="005A5301"/>
    <w:rsid w:val="005A642C"/>
    <w:rsid w:val="005B089C"/>
    <w:rsid w:val="005B0BC1"/>
    <w:rsid w:val="005B1FBE"/>
    <w:rsid w:val="005B446B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B43"/>
    <w:rsid w:val="005E5C16"/>
    <w:rsid w:val="005F2FD4"/>
    <w:rsid w:val="005F4562"/>
    <w:rsid w:val="005F518B"/>
    <w:rsid w:val="005F53F8"/>
    <w:rsid w:val="005F5638"/>
    <w:rsid w:val="005F6A3E"/>
    <w:rsid w:val="005F7884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5EE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47C8C"/>
    <w:rsid w:val="00650001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71061"/>
    <w:rsid w:val="00671E1E"/>
    <w:rsid w:val="00672A2C"/>
    <w:rsid w:val="00672BB9"/>
    <w:rsid w:val="0067367A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6AAC"/>
    <w:rsid w:val="00697E17"/>
    <w:rsid w:val="006A0369"/>
    <w:rsid w:val="006A0DF9"/>
    <w:rsid w:val="006A1418"/>
    <w:rsid w:val="006A172E"/>
    <w:rsid w:val="006A30D1"/>
    <w:rsid w:val="006A665A"/>
    <w:rsid w:val="006A6ABB"/>
    <w:rsid w:val="006A785C"/>
    <w:rsid w:val="006B070C"/>
    <w:rsid w:val="006B2AE7"/>
    <w:rsid w:val="006B400C"/>
    <w:rsid w:val="006B4CCA"/>
    <w:rsid w:val="006C0300"/>
    <w:rsid w:val="006C0F2A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4DC1"/>
    <w:rsid w:val="006E4DF2"/>
    <w:rsid w:val="006E6D14"/>
    <w:rsid w:val="006E7B1A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7A"/>
    <w:rsid w:val="007141F0"/>
    <w:rsid w:val="0071466A"/>
    <w:rsid w:val="007149B0"/>
    <w:rsid w:val="00715206"/>
    <w:rsid w:val="00716360"/>
    <w:rsid w:val="00716E04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22C3"/>
    <w:rsid w:val="00773263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5D44"/>
    <w:rsid w:val="007B6286"/>
    <w:rsid w:val="007C0678"/>
    <w:rsid w:val="007C343E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5337"/>
    <w:rsid w:val="008058FF"/>
    <w:rsid w:val="008109FF"/>
    <w:rsid w:val="008116A0"/>
    <w:rsid w:val="00813D32"/>
    <w:rsid w:val="00813D6F"/>
    <w:rsid w:val="008141C9"/>
    <w:rsid w:val="00814B55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45B9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83ED7"/>
    <w:rsid w:val="00883FDB"/>
    <w:rsid w:val="008841CD"/>
    <w:rsid w:val="0088432B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7125"/>
    <w:rsid w:val="008D75EB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3FF9"/>
    <w:rsid w:val="00924CAD"/>
    <w:rsid w:val="00925941"/>
    <w:rsid w:val="00925FCB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415C"/>
    <w:rsid w:val="00964B89"/>
    <w:rsid w:val="00964C16"/>
    <w:rsid w:val="0096755C"/>
    <w:rsid w:val="00967971"/>
    <w:rsid w:val="00967BBF"/>
    <w:rsid w:val="0097173E"/>
    <w:rsid w:val="0097257D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2D75"/>
    <w:rsid w:val="00AC330A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6D0A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17E1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156"/>
    <w:rsid w:val="00B26E2B"/>
    <w:rsid w:val="00B27274"/>
    <w:rsid w:val="00B273AD"/>
    <w:rsid w:val="00B3017D"/>
    <w:rsid w:val="00B31D7E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1749"/>
    <w:rsid w:val="00C52A37"/>
    <w:rsid w:val="00C536C6"/>
    <w:rsid w:val="00C54C85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771"/>
    <w:rsid w:val="00CB2AB1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4DF0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6840"/>
    <w:rsid w:val="00D13CD9"/>
    <w:rsid w:val="00D14737"/>
    <w:rsid w:val="00D16BCD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5FC"/>
    <w:rsid w:val="00D44438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65C3"/>
    <w:rsid w:val="00D807C9"/>
    <w:rsid w:val="00D813C6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4F1"/>
    <w:rsid w:val="00D96CD7"/>
    <w:rsid w:val="00D97519"/>
    <w:rsid w:val="00DA1B96"/>
    <w:rsid w:val="00DA20D9"/>
    <w:rsid w:val="00DA2300"/>
    <w:rsid w:val="00DA3674"/>
    <w:rsid w:val="00DA4569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C1E7A"/>
    <w:rsid w:val="00DC2106"/>
    <w:rsid w:val="00DC2717"/>
    <w:rsid w:val="00DC38D5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D7025"/>
    <w:rsid w:val="00DD7583"/>
    <w:rsid w:val="00DE00D7"/>
    <w:rsid w:val="00DE08DC"/>
    <w:rsid w:val="00DE18F3"/>
    <w:rsid w:val="00DE1B16"/>
    <w:rsid w:val="00DE225D"/>
    <w:rsid w:val="00DE3E46"/>
    <w:rsid w:val="00DE4D1E"/>
    <w:rsid w:val="00DE5114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4032F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4C3A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7A9"/>
    <w:rsid w:val="00EA06E5"/>
    <w:rsid w:val="00EA15FD"/>
    <w:rsid w:val="00EA44DD"/>
    <w:rsid w:val="00EA51D2"/>
    <w:rsid w:val="00EA70EF"/>
    <w:rsid w:val="00EA7953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1FF4"/>
    <w:rsid w:val="00F13C36"/>
    <w:rsid w:val="00F142BB"/>
    <w:rsid w:val="00F158A3"/>
    <w:rsid w:val="00F1681C"/>
    <w:rsid w:val="00F17ECC"/>
    <w:rsid w:val="00F20BD9"/>
    <w:rsid w:val="00F22267"/>
    <w:rsid w:val="00F2297A"/>
    <w:rsid w:val="00F22989"/>
    <w:rsid w:val="00F23D01"/>
    <w:rsid w:val="00F24826"/>
    <w:rsid w:val="00F24D28"/>
    <w:rsid w:val="00F3030C"/>
    <w:rsid w:val="00F316C1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5B9B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957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7136"/>
    <w:rsid w:val="00FA2613"/>
    <w:rsid w:val="00FA263C"/>
    <w:rsid w:val="00FA38D1"/>
    <w:rsid w:val="00FA418C"/>
    <w:rsid w:val="00FA469D"/>
    <w:rsid w:val="00FA6608"/>
    <w:rsid w:val="00FB097F"/>
    <w:rsid w:val="00FB2F5E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59D"/>
    <w:rsid w:val="00FD6FA7"/>
    <w:rsid w:val="00FD7515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28AD-DC58-42C1-B652-22B579A6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9</cp:revision>
  <cp:lastPrinted>2018-09-25T13:05:00Z</cp:lastPrinted>
  <dcterms:created xsi:type="dcterms:W3CDTF">2019-05-11T08:10:00Z</dcterms:created>
  <dcterms:modified xsi:type="dcterms:W3CDTF">2019-05-14T11:33:00Z</dcterms:modified>
</cp:coreProperties>
</file>