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1C7" w:rsidRDefault="00AC41C7" w:rsidP="002D4089">
      <w:pPr>
        <w:spacing w:line="360" w:lineRule="auto"/>
        <w:ind w:left="0" w:right="1843"/>
        <w:rPr>
          <w:rFonts w:cs="Arial"/>
          <w:b/>
          <w:sz w:val="28"/>
          <w:szCs w:val="28"/>
          <w:lang w:val="en-US"/>
        </w:rPr>
      </w:pPr>
    </w:p>
    <w:p w:rsidR="00AC41C7" w:rsidRPr="00E171CE" w:rsidRDefault="00AC41C7" w:rsidP="002D4089">
      <w:pPr>
        <w:spacing w:line="360" w:lineRule="auto"/>
        <w:ind w:left="0" w:right="1843"/>
        <w:rPr>
          <w:rFonts w:cs="Arial"/>
          <w:b/>
          <w:sz w:val="28"/>
          <w:szCs w:val="28"/>
          <w:lang w:val="en-US"/>
        </w:rPr>
      </w:pPr>
    </w:p>
    <w:p w:rsidR="00AC41C7" w:rsidRPr="00E171CE" w:rsidRDefault="00AC41C7" w:rsidP="002D4089">
      <w:pPr>
        <w:spacing w:line="360" w:lineRule="auto"/>
        <w:ind w:left="0" w:right="1843"/>
        <w:rPr>
          <w:rFonts w:cs="Arial"/>
          <w:b/>
          <w:sz w:val="28"/>
          <w:szCs w:val="28"/>
          <w:lang w:val="en-US"/>
        </w:rPr>
      </w:pPr>
    </w:p>
    <w:p w:rsidR="00E171CE" w:rsidRPr="00E171CE" w:rsidRDefault="00E171CE" w:rsidP="00E171CE">
      <w:pPr>
        <w:spacing w:line="360" w:lineRule="auto"/>
        <w:ind w:left="0" w:right="1843"/>
        <w:rPr>
          <w:rFonts w:cs="Arial"/>
          <w:b/>
          <w:sz w:val="28"/>
          <w:szCs w:val="28"/>
          <w:lang w:val="en-AU"/>
        </w:rPr>
      </w:pPr>
      <w:r w:rsidRPr="00E171CE">
        <w:rPr>
          <w:rFonts w:cs="Arial"/>
          <w:b/>
          <w:sz w:val="28"/>
          <w:szCs w:val="28"/>
          <w:lang w:val="en-AU"/>
        </w:rPr>
        <w:t xml:space="preserve">TGW and Coop Sign Multi-Year Service Contract </w:t>
      </w:r>
    </w:p>
    <w:p w:rsidR="00E171CE" w:rsidRPr="00E171CE" w:rsidRDefault="00E171CE" w:rsidP="00E171CE">
      <w:pPr>
        <w:spacing w:line="360" w:lineRule="auto"/>
        <w:ind w:left="0" w:right="1843"/>
        <w:jc w:val="left"/>
        <w:rPr>
          <w:rFonts w:cs="Arial"/>
          <w:b/>
          <w:sz w:val="24"/>
          <w:szCs w:val="24"/>
          <w:lang w:val="en-AU"/>
        </w:rPr>
      </w:pPr>
    </w:p>
    <w:p w:rsidR="00E171CE" w:rsidRPr="00E171CE" w:rsidRDefault="003937AD" w:rsidP="00E171CE">
      <w:pPr>
        <w:pStyle w:val="Listenabsatz"/>
        <w:numPr>
          <w:ilvl w:val="0"/>
          <w:numId w:val="13"/>
        </w:numPr>
        <w:spacing w:line="360" w:lineRule="auto"/>
        <w:ind w:right="1843"/>
        <w:jc w:val="left"/>
        <w:rPr>
          <w:rFonts w:cs="Arial"/>
          <w:b/>
          <w:sz w:val="24"/>
          <w:szCs w:val="24"/>
          <w:lang w:val="en-AU"/>
        </w:rPr>
      </w:pPr>
      <w:r>
        <w:rPr>
          <w:rFonts w:cs="Arial"/>
          <w:b/>
          <w:sz w:val="24"/>
          <w:szCs w:val="24"/>
          <w:lang w:val="en-AU"/>
        </w:rPr>
        <w:t>Coop purchases comprehensive Lifetime S</w:t>
      </w:r>
      <w:r w:rsidR="00E171CE" w:rsidRPr="00E171CE">
        <w:rPr>
          <w:rFonts w:cs="Arial"/>
          <w:b/>
          <w:sz w:val="24"/>
          <w:szCs w:val="24"/>
          <w:lang w:val="en-AU"/>
        </w:rPr>
        <w:t>ervices package for its highly automated logistics center in Schafisheim, Switzerland</w:t>
      </w:r>
    </w:p>
    <w:p w:rsidR="00E171CE" w:rsidRPr="00E171CE" w:rsidRDefault="00E171CE" w:rsidP="00E171CE">
      <w:pPr>
        <w:pStyle w:val="Listenabsatz"/>
        <w:numPr>
          <w:ilvl w:val="0"/>
          <w:numId w:val="13"/>
        </w:numPr>
        <w:spacing w:line="360" w:lineRule="auto"/>
        <w:ind w:right="1843"/>
        <w:jc w:val="left"/>
        <w:rPr>
          <w:rFonts w:cs="Arial"/>
          <w:b/>
          <w:sz w:val="24"/>
          <w:szCs w:val="24"/>
          <w:lang w:val="en-AU"/>
        </w:rPr>
      </w:pPr>
      <w:r w:rsidRPr="00E171CE">
        <w:rPr>
          <w:rFonts w:cs="Arial"/>
          <w:b/>
          <w:sz w:val="24"/>
          <w:szCs w:val="24"/>
          <w:lang w:val="en-AU"/>
        </w:rPr>
        <w:t>Five-year 24/7 hotline support</w:t>
      </w:r>
    </w:p>
    <w:p w:rsidR="00E171CE" w:rsidRPr="00E171CE" w:rsidRDefault="00E171CE" w:rsidP="00E171CE">
      <w:pPr>
        <w:pStyle w:val="Listenabsatz"/>
        <w:numPr>
          <w:ilvl w:val="0"/>
          <w:numId w:val="13"/>
        </w:numPr>
        <w:spacing w:line="360" w:lineRule="auto"/>
        <w:ind w:right="1843"/>
        <w:jc w:val="left"/>
        <w:rPr>
          <w:rFonts w:cs="Arial"/>
          <w:b/>
          <w:sz w:val="24"/>
          <w:szCs w:val="24"/>
          <w:lang w:val="en-AU"/>
        </w:rPr>
      </w:pPr>
      <w:r w:rsidRPr="00E171CE">
        <w:rPr>
          <w:rFonts w:cs="Arial"/>
          <w:b/>
          <w:sz w:val="24"/>
          <w:szCs w:val="24"/>
          <w:lang w:val="en-AU"/>
        </w:rPr>
        <w:t xml:space="preserve">Three years full maintenance with extension option </w:t>
      </w:r>
    </w:p>
    <w:p w:rsidR="00E171CE" w:rsidRPr="00E171CE" w:rsidRDefault="00E171CE" w:rsidP="00E171CE">
      <w:pPr>
        <w:pStyle w:val="Listenabsatz"/>
        <w:numPr>
          <w:ilvl w:val="0"/>
          <w:numId w:val="13"/>
        </w:numPr>
        <w:spacing w:line="360" w:lineRule="auto"/>
        <w:ind w:right="1843"/>
        <w:jc w:val="left"/>
        <w:rPr>
          <w:rFonts w:cs="Arial"/>
          <w:b/>
          <w:sz w:val="24"/>
          <w:szCs w:val="24"/>
          <w:lang w:val="en-AU"/>
        </w:rPr>
      </w:pPr>
      <w:r w:rsidRPr="00E171CE">
        <w:rPr>
          <w:rFonts w:cs="Arial"/>
          <w:b/>
          <w:sz w:val="24"/>
          <w:szCs w:val="24"/>
          <w:lang w:val="en-AU"/>
        </w:rPr>
        <w:t xml:space="preserve">Spare-parts service </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b/>
          <w:szCs w:val="20"/>
          <w:lang w:val="en-AU"/>
        </w:rPr>
      </w:pPr>
      <w:r w:rsidRPr="00E171CE">
        <w:rPr>
          <w:rFonts w:cs="Arial"/>
          <w:b/>
          <w:szCs w:val="20"/>
          <w:lang w:val="en-AU"/>
        </w:rPr>
        <w:t xml:space="preserve">The Coop logistics center in Schafisheim, Switzerland, is relying on TGW’s competence for ongoing operations as part of a comprehensive </w:t>
      </w:r>
      <w:r w:rsidR="003937AD">
        <w:rPr>
          <w:rFonts w:cs="Arial"/>
          <w:b/>
          <w:szCs w:val="20"/>
          <w:lang w:val="en-AU"/>
        </w:rPr>
        <w:t>L</w:t>
      </w:r>
      <w:r w:rsidRPr="00E171CE">
        <w:rPr>
          <w:rFonts w:cs="Arial"/>
          <w:b/>
          <w:szCs w:val="20"/>
          <w:lang w:val="en-AU"/>
        </w:rPr>
        <w:t xml:space="preserve">ifetime </w:t>
      </w:r>
      <w:r w:rsidR="003937AD">
        <w:rPr>
          <w:rFonts w:cs="Arial"/>
          <w:b/>
          <w:szCs w:val="20"/>
          <w:lang w:val="en-AU"/>
        </w:rPr>
        <w:t>S</w:t>
      </w:r>
      <w:r w:rsidRPr="00E171CE">
        <w:rPr>
          <w:rFonts w:cs="Arial"/>
          <w:b/>
          <w:szCs w:val="20"/>
          <w:lang w:val="en-AU"/>
        </w:rPr>
        <w:t>ervices package. The contract, which was recently signed, features three years of full maintenance with an extension option for an additional two years. TGW will also be handling spare parts for Coop’s complex intralogistics system.</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szCs w:val="20"/>
          <w:lang w:val="en-AU"/>
        </w:rPr>
      </w:pPr>
      <w:r w:rsidRPr="00E171CE">
        <w:rPr>
          <w:rFonts w:cs="Arial"/>
          <w:szCs w:val="20"/>
          <w:lang w:val="en-AU"/>
        </w:rPr>
        <w:t>With its more than 86,000 employees Coop generated sales of 25.7 billion euros in 2017. In addition to popular supermarkets, the Swiss group also owns a number of wholesalers as well as various production businesses. The company’s distribution center is located in the small Swiss town of Schafisheim and consists of four separate, large units covering an area of 240,000 square meters.</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b/>
          <w:szCs w:val="20"/>
          <w:lang w:val="en-AU"/>
        </w:rPr>
      </w:pPr>
      <w:r w:rsidRPr="00E171CE">
        <w:rPr>
          <w:rFonts w:cs="Arial"/>
          <w:b/>
          <w:szCs w:val="20"/>
          <w:lang w:val="en-AU"/>
        </w:rPr>
        <w:t>A jointly developed solution</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szCs w:val="20"/>
          <w:lang w:val="en-AU"/>
        </w:rPr>
      </w:pPr>
      <w:r w:rsidRPr="00E171CE">
        <w:rPr>
          <w:rFonts w:cs="Arial"/>
          <w:szCs w:val="20"/>
          <w:lang w:val="en-AU"/>
        </w:rPr>
        <w:t>The specifications for the service package were determined together with Coop in the course of various workshops, which eventually resulted in a tailor-made offer. For its highly automated logistics solution in Schafisheim, Coop opted for a complete package that includes third-party components as well as a 24/7 hotline support for the duration of five years.</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szCs w:val="20"/>
          <w:lang w:val="en-AU"/>
        </w:rPr>
      </w:pPr>
      <w:r w:rsidRPr="00E171CE">
        <w:rPr>
          <w:rFonts w:cs="Arial"/>
          <w:szCs w:val="20"/>
          <w:lang w:val="en-AU"/>
        </w:rPr>
        <w:t xml:space="preserve">The service and maintenance contract covers the general goods area as well as the empty </w:t>
      </w:r>
      <w:r w:rsidR="00EA410B">
        <w:rPr>
          <w:rFonts w:cs="Arial"/>
          <w:szCs w:val="20"/>
          <w:lang w:val="en-AU"/>
        </w:rPr>
        <w:t>packs</w:t>
      </w:r>
      <w:r w:rsidRPr="00E171CE">
        <w:rPr>
          <w:rFonts w:cs="Arial"/>
          <w:szCs w:val="20"/>
          <w:lang w:val="en-AU"/>
        </w:rPr>
        <w:t xml:space="preserve"> center, the automatic </w:t>
      </w:r>
      <w:r w:rsidR="00EA410B">
        <w:rPr>
          <w:rFonts w:cs="Arial"/>
          <w:szCs w:val="20"/>
          <w:lang w:val="en-AU"/>
        </w:rPr>
        <w:t>cooling machine</w:t>
      </w:r>
      <w:r w:rsidRPr="00E171CE">
        <w:rPr>
          <w:rFonts w:cs="Arial"/>
          <w:szCs w:val="20"/>
          <w:lang w:val="en-AU"/>
        </w:rPr>
        <w:t xml:space="preserve">, and the </w:t>
      </w:r>
      <w:r w:rsidR="003367F4">
        <w:rPr>
          <w:rFonts w:cs="Arial"/>
          <w:szCs w:val="20"/>
          <w:lang w:val="en-AU"/>
        </w:rPr>
        <w:t>freezer</w:t>
      </w:r>
      <w:bookmarkStart w:id="0" w:name="_GoBack"/>
      <w:bookmarkEnd w:id="0"/>
      <w:r w:rsidRPr="00E171CE">
        <w:rPr>
          <w:rFonts w:cs="Arial"/>
          <w:szCs w:val="20"/>
          <w:lang w:val="en-AU"/>
        </w:rPr>
        <w:t xml:space="preserve"> area. TGW Stingray Shuttles will move through the lanes at brisk speed and temperatures as low as -25 degrees Celsius while hauling high loads – at the same time storing and retrieving </w:t>
      </w:r>
      <w:r w:rsidRPr="00E171CE">
        <w:rPr>
          <w:rFonts w:cs="Arial"/>
          <w:szCs w:val="20"/>
          <w:lang w:val="en-AU"/>
        </w:rPr>
        <w:lastRenderedPageBreak/>
        <w:t>items at maximum reliability. “The system’s high degree of automation as well as its complexity placed special demands on the Lifetime Services offer,” says Thomas Kretz, Managing Director of TGW Switzerland. The system has to function as smoothly as possible in order to ensure timely delivery to all branches.</w:t>
      </w:r>
    </w:p>
    <w:p w:rsidR="00E171CE" w:rsidRPr="00E171CE" w:rsidRDefault="00E171CE" w:rsidP="00E171CE">
      <w:pPr>
        <w:spacing w:line="360" w:lineRule="auto"/>
        <w:ind w:left="0" w:right="1843"/>
        <w:rPr>
          <w:rFonts w:cs="Arial"/>
          <w:szCs w:val="20"/>
          <w:lang w:val="en-AU"/>
        </w:rPr>
      </w:pPr>
    </w:p>
    <w:p w:rsidR="00E171CE" w:rsidRPr="00E171CE" w:rsidRDefault="00E171CE" w:rsidP="00E171CE">
      <w:pPr>
        <w:spacing w:line="360" w:lineRule="auto"/>
        <w:ind w:left="0" w:right="1843"/>
        <w:rPr>
          <w:rFonts w:cs="Arial"/>
          <w:szCs w:val="20"/>
          <w:lang w:val="en-AU"/>
        </w:rPr>
      </w:pPr>
      <w:r w:rsidRPr="00E171CE">
        <w:rPr>
          <w:rFonts w:cs="Arial"/>
          <w:szCs w:val="20"/>
          <w:lang w:val="en-AU"/>
        </w:rPr>
        <w:t>“We are delighted that Coop is again placing its trust in us, and that we will be continuing our partnership,” emphasizes Thomas Kretz. “With the extension of the service contract, TGW has taken another important step in successful positioning itself as a specialist for comprehensive services”.</w:t>
      </w:r>
    </w:p>
    <w:p w:rsidR="00560A7A" w:rsidRPr="00E171CE" w:rsidRDefault="00560A7A" w:rsidP="00E171CE">
      <w:pPr>
        <w:spacing w:line="360" w:lineRule="auto"/>
        <w:ind w:left="0" w:right="1843"/>
        <w:rPr>
          <w:rFonts w:cs="Arial"/>
          <w:szCs w:val="20"/>
          <w:lang w:val="en-AU"/>
        </w:rPr>
      </w:pPr>
    </w:p>
    <w:p w:rsidR="00560A7A" w:rsidRDefault="00560A7A" w:rsidP="00E171CE">
      <w:pPr>
        <w:spacing w:line="36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6E3CD3" w:rsidRDefault="006E3CD3"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Default="00560A7A" w:rsidP="008D7FF7">
      <w:pPr>
        <w:spacing w:line="240" w:lineRule="auto"/>
        <w:ind w:left="0" w:right="1843"/>
        <w:rPr>
          <w:rFonts w:cs="Arial"/>
          <w:szCs w:val="20"/>
          <w:lang w:val="en-US"/>
        </w:rPr>
      </w:pPr>
    </w:p>
    <w:p w:rsidR="00560A7A" w:rsidRPr="005B2457" w:rsidRDefault="003367F4" w:rsidP="00560A7A">
      <w:pPr>
        <w:spacing w:line="240" w:lineRule="auto"/>
        <w:ind w:left="0" w:right="1843"/>
        <w:rPr>
          <w:rStyle w:val="Hyperlink"/>
          <w:rFonts w:cs="Arial"/>
          <w:color w:val="auto"/>
          <w:u w:val="none"/>
          <w:lang w:val="en-US"/>
        </w:rPr>
      </w:pPr>
      <w:hyperlink r:id="rId8" w:history="1">
        <w:r w:rsidR="00560A7A" w:rsidRPr="005B2457">
          <w:rPr>
            <w:rStyle w:val="Hyperlink"/>
            <w:rFonts w:cs="Arial"/>
            <w:lang w:val="en-US"/>
          </w:rPr>
          <w:t>www.tgw-group.com</w:t>
        </w:r>
      </w:hyperlink>
      <w:r w:rsidR="00560A7A" w:rsidRPr="005B2457">
        <w:rPr>
          <w:rStyle w:val="Hyperlink"/>
          <w:rFonts w:cs="Arial"/>
          <w:color w:val="auto"/>
          <w:u w:val="none"/>
          <w:lang w:val="en-US"/>
        </w:rPr>
        <w:br/>
      </w:r>
    </w:p>
    <w:p w:rsidR="00560A7A" w:rsidRPr="00E33340" w:rsidRDefault="00560A7A" w:rsidP="00560A7A">
      <w:pPr>
        <w:spacing w:line="240" w:lineRule="auto"/>
        <w:ind w:left="0" w:right="1843"/>
        <w:rPr>
          <w:rStyle w:val="Hyperlink"/>
          <w:rFonts w:cs="Arial"/>
          <w:b/>
          <w:color w:val="auto"/>
          <w:szCs w:val="20"/>
          <w:u w:val="none"/>
          <w:lang w:val="en-US"/>
        </w:rPr>
      </w:pPr>
      <w:r w:rsidRPr="00E33340">
        <w:rPr>
          <w:rStyle w:val="Hyperlink"/>
          <w:rFonts w:cs="Arial"/>
          <w:b/>
          <w:color w:val="auto"/>
          <w:szCs w:val="20"/>
          <w:u w:val="none"/>
          <w:lang w:val="en-US"/>
        </w:rPr>
        <w:lastRenderedPageBreak/>
        <w:t>About TGW Logistics Group:</w:t>
      </w: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The TGW Logistics Group is a worldwide leading provider of intralogistics solutions. For 50 years, this Austrian specialist has been providing automated systems for international customers – from A as in Adidas to Z as in Zalando. As a systems integrator, TGW provides planning, production, and implementation of complex logistics centers – from mechatronics to robotics and from control systems to software solutions.</w:t>
      </w: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With approximately 3,300 employees, TGW Logistics Group has offices in Europe, China, and in the U.S.A. In the 2017/2018 business year, the company achieved a total turnover of € 713 million.</w:t>
      </w: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jc w:val="left"/>
        <w:rPr>
          <w:rFonts w:cs="Arial"/>
          <w:b/>
          <w:szCs w:val="20"/>
          <w:lang w:val="en-US"/>
        </w:rPr>
      </w:pPr>
      <w:r w:rsidRPr="00E33340">
        <w:rPr>
          <w:rFonts w:cs="Arial"/>
          <w:b/>
          <w:szCs w:val="20"/>
          <w:lang w:val="en-US"/>
        </w:rPr>
        <w:t>Reprints:</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 xml:space="preserve">Images reprinted for press reports featuring primarily the TGW Logistics Group may be used free of charge and under citation of the source. No free reprints for promotional purposes. </w:t>
      </w: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rPr>
          <w:rStyle w:val="Hyperlink"/>
          <w:rFonts w:cs="Arial"/>
          <w:color w:val="auto"/>
          <w:szCs w:val="20"/>
          <w:u w:val="none"/>
          <w:lang w:val="en-US"/>
        </w:rPr>
      </w:pPr>
    </w:p>
    <w:p w:rsidR="00560A7A" w:rsidRPr="00E33340" w:rsidRDefault="00560A7A" w:rsidP="00560A7A">
      <w:pPr>
        <w:spacing w:line="240" w:lineRule="auto"/>
        <w:ind w:left="0" w:right="1843"/>
        <w:jc w:val="left"/>
        <w:rPr>
          <w:rFonts w:cs="Arial"/>
          <w:b/>
          <w:szCs w:val="20"/>
          <w:lang w:val="en-US"/>
        </w:rPr>
      </w:pPr>
      <w:r w:rsidRPr="00E33340">
        <w:rPr>
          <w:rFonts w:cs="Arial"/>
          <w:b/>
          <w:szCs w:val="20"/>
          <w:lang w:val="en-US"/>
        </w:rPr>
        <w:t>Contacts:</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TGW Logistics Group GmbH</w:t>
      </w:r>
    </w:p>
    <w:p w:rsidR="00560A7A" w:rsidRPr="00E33340" w:rsidRDefault="00560A7A" w:rsidP="00560A7A">
      <w:pPr>
        <w:spacing w:line="240" w:lineRule="auto"/>
        <w:ind w:left="0" w:right="1843"/>
        <w:jc w:val="left"/>
        <w:rPr>
          <w:rFonts w:cs="Arial"/>
          <w:szCs w:val="20"/>
          <w:lang w:val="de-AT"/>
        </w:rPr>
      </w:pPr>
      <w:r w:rsidRPr="00E33340">
        <w:rPr>
          <w:rFonts w:cs="Arial"/>
          <w:szCs w:val="20"/>
          <w:lang w:val="de-AT"/>
        </w:rPr>
        <w:t xml:space="preserve">A-4614 Marchtrenk, </w:t>
      </w:r>
      <w:r w:rsidR="00F90859">
        <w:rPr>
          <w:rFonts w:cs="Arial"/>
          <w:szCs w:val="20"/>
          <w:lang w:val="de-AT"/>
        </w:rPr>
        <w:t>Ludwig Szinicz Straße</w:t>
      </w:r>
      <w:r w:rsidRPr="00E33340">
        <w:rPr>
          <w:rFonts w:cs="Arial"/>
          <w:szCs w:val="20"/>
          <w:lang w:val="de-AT"/>
        </w:rPr>
        <w:t xml:space="preserve"> 3</w:t>
      </w:r>
    </w:p>
    <w:p w:rsidR="00560A7A" w:rsidRPr="00E171CE" w:rsidRDefault="00560A7A" w:rsidP="00560A7A">
      <w:pPr>
        <w:spacing w:line="240" w:lineRule="auto"/>
        <w:ind w:left="0" w:right="1843"/>
        <w:jc w:val="left"/>
        <w:rPr>
          <w:rFonts w:cs="Arial"/>
          <w:szCs w:val="20"/>
          <w:lang w:val="en-AU"/>
        </w:rPr>
      </w:pPr>
      <w:r w:rsidRPr="00E171CE">
        <w:rPr>
          <w:rFonts w:cs="Arial"/>
          <w:szCs w:val="20"/>
          <w:lang w:val="en-AU"/>
        </w:rPr>
        <w:t>Ph: +43.(0)50.486-0</w:t>
      </w:r>
    </w:p>
    <w:p w:rsidR="00560A7A" w:rsidRPr="00E171CE" w:rsidRDefault="00560A7A" w:rsidP="00560A7A">
      <w:pPr>
        <w:spacing w:line="240" w:lineRule="auto"/>
        <w:ind w:left="0" w:right="1843"/>
        <w:jc w:val="left"/>
        <w:rPr>
          <w:rFonts w:cs="Arial"/>
          <w:szCs w:val="20"/>
          <w:lang w:val="en-AU"/>
        </w:rPr>
      </w:pPr>
      <w:r w:rsidRPr="00E171CE">
        <w:rPr>
          <w:rFonts w:cs="Arial"/>
          <w:szCs w:val="20"/>
          <w:lang w:val="en-AU"/>
        </w:rPr>
        <w:t>F: +43.(0)50.486-31</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Email: tgw@tgw-group.com</w:t>
      </w:r>
    </w:p>
    <w:p w:rsidR="00560A7A" w:rsidRPr="00E33340" w:rsidRDefault="00560A7A" w:rsidP="00560A7A">
      <w:pPr>
        <w:spacing w:line="240" w:lineRule="auto"/>
        <w:ind w:left="0" w:right="1843"/>
        <w:jc w:val="left"/>
        <w:rPr>
          <w:rFonts w:cs="Arial"/>
          <w:szCs w:val="20"/>
          <w:lang w:val="en-US"/>
        </w:rPr>
      </w:pPr>
    </w:p>
    <w:p w:rsidR="00560A7A" w:rsidRPr="00E33340" w:rsidRDefault="00560A7A" w:rsidP="00560A7A">
      <w:pPr>
        <w:spacing w:line="240" w:lineRule="auto"/>
        <w:ind w:left="0" w:right="1843"/>
        <w:jc w:val="left"/>
        <w:rPr>
          <w:rFonts w:cs="Arial"/>
          <w:szCs w:val="20"/>
          <w:lang w:val="en-US"/>
        </w:rPr>
      </w:pPr>
    </w:p>
    <w:p w:rsidR="00560A7A" w:rsidRPr="00E33340" w:rsidRDefault="00560A7A" w:rsidP="00560A7A">
      <w:pPr>
        <w:spacing w:line="240" w:lineRule="auto"/>
        <w:ind w:left="0" w:right="1843"/>
        <w:jc w:val="left"/>
        <w:rPr>
          <w:rFonts w:cs="Arial"/>
          <w:szCs w:val="20"/>
          <w:lang w:val="en-US"/>
        </w:rPr>
      </w:pPr>
    </w:p>
    <w:p w:rsidR="00560A7A" w:rsidRPr="00E33340" w:rsidRDefault="00560A7A" w:rsidP="00560A7A">
      <w:pPr>
        <w:spacing w:line="240" w:lineRule="auto"/>
        <w:ind w:left="0" w:right="1843"/>
        <w:jc w:val="left"/>
        <w:rPr>
          <w:rFonts w:cs="Arial"/>
          <w:b/>
          <w:szCs w:val="20"/>
          <w:lang w:val="en-US"/>
        </w:rPr>
      </w:pPr>
      <w:r w:rsidRPr="00E33340">
        <w:rPr>
          <w:rFonts w:cs="Arial"/>
          <w:b/>
          <w:szCs w:val="20"/>
          <w:lang w:val="en-US"/>
        </w:rPr>
        <w:t>Press contacts:</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Martin Kirchmayr</w:t>
      </w:r>
    </w:p>
    <w:p w:rsidR="00560A7A" w:rsidRPr="00E33340" w:rsidRDefault="00CE38E3" w:rsidP="00560A7A">
      <w:pPr>
        <w:spacing w:line="240" w:lineRule="auto"/>
        <w:ind w:left="0" w:right="1843"/>
        <w:jc w:val="left"/>
        <w:rPr>
          <w:rFonts w:cs="Arial"/>
          <w:szCs w:val="20"/>
          <w:lang w:val="en-AU"/>
        </w:rPr>
      </w:pPr>
      <w:r>
        <w:rPr>
          <w:rFonts w:cs="Arial"/>
          <w:szCs w:val="20"/>
          <w:lang w:val="en-AU"/>
        </w:rPr>
        <w:t xml:space="preserve">Director </w:t>
      </w:r>
      <w:r w:rsidR="00560A7A" w:rsidRPr="00E33340">
        <w:rPr>
          <w:rFonts w:cs="Arial"/>
          <w:szCs w:val="20"/>
          <w:lang w:val="en-AU"/>
        </w:rPr>
        <w:t>Marketing &amp; Communication</w:t>
      </w:r>
      <w:r w:rsidR="00560A7A" w:rsidRPr="00E33340">
        <w:rPr>
          <w:rFonts w:cs="Arial"/>
          <w:szCs w:val="20"/>
          <w:lang w:val="en-US"/>
        </w:rPr>
        <w:t>s</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Ph: +43.(0)50.486-1382</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M: +43.(0)664.8187423</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martin.kirchmayr@tgw-group.com</w:t>
      </w:r>
    </w:p>
    <w:p w:rsidR="00560A7A" w:rsidRPr="00E33340" w:rsidRDefault="00560A7A" w:rsidP="00560A7A">
      <w:pPr>
        <w:spacing w:line="240" w:lineRule="auto"/>
        <w:ind w:left="0" w:right="1843"/>
        <w:jc w:val="left"/>
        <w:rPr>
          <w:rFonts w:cs="Arial"/>
          <w:szCs w:val="20"/>
          <w:lang w:val="en-US"/>
        </w:rPr>
      </w:pPr>
    </w:p>
    <w:p w:rsidR="00560A7A" w:rsidRPr="00E33340" w:rsidRDefault="00560A7A" w:rsidP="00560A7A">
      <w:pPr>
        <w:spacing w:line="240" w:lineRule="auto"/>
        <w:ind w:left="0" w:right="1843"/>
        <w:jc w:val="left"/>
        <w:rPr>
          <w:rFonts w:cs="Arial"/>
          <w:szCs w:val="20"/>
          <w:lang w:val="en-US"/>
        </w:rPr>
      </w:pP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Alexander Tahedl</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US"/>
        </w:rPr>
        <w:t>Marketing Specialist</w:t>
      </w:r>
    </w:p>
    <w:p w:rsidR="00560A7A" w:rsidRPr="00E33340" w:rsidRDefault="00560A7A" w:rsidP="00560A7A">
      <w:pPr>
        <w:spacing w:line="240" w:lineRule="auto"/>
        <w:ind w:left="0" w:right="1843"/>
        <w:jc w:val="left"/>
        <w:rPr>
          <w:rFonts w:cs="Arial"/>
          <w:szCs w:val="20"/>
          <w:lang w:val="en-AU"/>
        </w:rPr>
      </w:pPr>
      <w:r w:rsidRPr="00E33340">
        <w:rPr>
          <w:rFonts w:cs="Arial"/>
          <w:szCs w:val="20"/>
          <w:lang w:val="en-US"/>
        </w:rPr>
        <w:t>Ph: +43.(0)50.486-2267</w:t>
      </w:r>
    </w:p>
    <w:p w:rsidR="00560A7A" w:rsidRPr="00E33340" w:rsidRDefault="00560A7A" w:rsidP="00560A7A">
      <w:pPr>
        <w:spacing w:line="240" w:lineRule="auto"/>
        <w:ind w:left="0" w:right="1843"/>
        <w:jc w:val="left"/>
        <w:rPr>
          <w:rFonts w:cs="Arial"/>
          <w:szCs w:val="20"/>
          <w:lang w:val="en-US"/>
        </w:rPr>
      </w:pPr>
      <w:r w:rsidRPr="00E33340">
        <w:rPr>
          <w:rFonts w:cs="Arial"/>
          <w:szCs w:val="20"/>
          <w:lang w:val="en-AU"/>
        </w:rPr>
        <w:t>M: +43.(0)664.88459713</w:t>
      </w:r>
    </w:p>
    <w:p w:rsidR="00560A7A" w:rsidRDefault="00560A7A" w:rsidP="00560A7A">
      <w:pPr>
        <w:spacing w:line="240" w:lineRule="auto"/>
        <w:ind w:left="0" w:right="1843"/>
        <w:rPr>
          <w:rStyle w:val="Hyperlink"/>
          <w:rFonts w:cs="Arial"/>
          <w:color w:val="auto"/>
          <w:szCs w:val="20"/>
          <w:u w:val="none"/>
          <w:lang w:val="en-US"/>
        </w:rPr>
      </w:pPr>
      <w:r w:rsidRPr="00E33340">
        <w:rPr>
          <w:rFonts w:cs="Arial"/>
          <w:szCs w:val="20"/>
          <w:lang w:val="en-AU"/>
        </w:rPr>
        <w:t>alexander.tahedl@tgw-group.com</w:t>
      </w:r>
    </w:p>
    <w:p w:rsidR="00560A7A" w:rsidRPr="008D7FF7" w:rsidRDefault="00560A7A" w:rsidP="008D7FF7">
      <w:pPr>
        <w:spacing w:line="240" w:lineRule="auto"/>
        <w:ind w:left="0" w:right="1843"/>
        <w:rPr>
          <w:rStyle w:val="Hyperlink"/>
          <w:rFonts w:cs="Arial"/>
          <w:color w:val="auto"/>
          <w:szCs w:val="20"/>
          <w:u w:val="none"/>
          <w:lang w:val="en-US"/>
        </w:rPr>
      </w:pPr>
    </w:p>
    <w:sectPr w:rsidR="00560A7A" w:rsidRPr="008D7FF7"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EBF" w:rsidRDefault="00D95EBF" w:rsidP="00764006">
      <w:pPr>
        <w:spacing w:line="240" w:lineRule="auto"/>
      </w:pPr>
      <w:r>
        <w:separator/>
      </w:r>
    </w:p>
  </w:endnote>
  <w:endnote w:type="continuationSeparator" w:id="0">
    <w:p w:rsidR="00D95EBF" w:rsidRDefault="00D95EB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0B65C7" w:rsidRPr="00C424EA" w:rsidTr="0061697F">
      <w:tc>
        <w:tcPr>
          <w:tcW w:w="6474" w:type="dxa"/>
        </w:tcPr>
        <w:p w:rsidR="000B65C7" w:rsidRPr="00C424EA" w:rsidRDefault="00C424E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0B65C7" w:rsidRPr="00C424EA" w:rsidRDefault="000B65C7" w:rsidP="00C424EA">
          <w:pPr>
            <w:pStyle w:val="Fuzeile"/>
            <w:rPr>
              <w:sz w:val="16"/>
              <w:szCs w:val="16"/>
            </w:rPr>
          </w:pPr>
        </w:p>
      </w:tc>
      <w:tc>
        <w:tcPr>
          <w:tcW w:w="283" w:type="dxa"/>
          <w:tcBorders>
            <w:left w:val="single" w:sz="12" w:space="0" w:color="C00418" w:themeColor="accent1"/>
          </w:tcBorders>
        </w:tcPr>
        <w:p w:rsidR="000B65C7" w:rsidRPr="00C424EA" w:rsidRDefault="000B65C7" w:rsidP="00C424EA">
          <w:pPr>
            <w:pStyle w:val="Fuzeile"/>
            <w:rPr>
              <w:sz w:val="16"/>
              <w:szCs w:val="16"/>
            </w:rPr>
          </w:pPr>
        </w:p>
      </w:tc>
      <w:tc>
        <w:tcPr>
          <w:tcW w:w="2438" w:type="dxa"/>
          <w:vAlign w:val="center"/>
        </w:tcPr>
        <w:p w:rsidR="000B65C7" w:rsidRPr="00C424EA" w:rsidRDefault="000B65C7"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3367F4">
            <w:rPr>
              <w:noProof/>
              <w:sz w:val="16"/>
              <w:szCs w:val="16"/>
            </w:rPr>
            <w:t>2</w:t>
          </w:r>
          <w:r w:rsidRPr="00C424EA">
            <w:rPr>
              <w:sz w:val="16"/>
              <w:szCs w:val="16"/>
            </w:rPr>
            <w:fldChar w:fldCharType="end"/>
          </w:r>
          <w:r w:rsidR="000C38EE" w:rsidRPr="00C424EA">
            <w:rPr>
              <w:sz w:val="16"/>
              <w:szCs w:val="16"/>
            </w:rPr>
            <w:t xml:space="preserve"> / </w:t>
          </w:r>
          <w:r w:rsidR="00C424EA" w:rsidRPr="00C424EA">
            <w:rPr>
              <w:sz w:val="16"/>
              <w:szCs w:val="16"/>
            </w:rPr>
            <w:fldChar w:fldCharType="begin"/>
          </w:r>
          <w:r w:rsidR="00C424EA" w:rsidRPr="00C424EA">
            <w:rPr>
              <w:sz w:val="16"/>
              <w:szCs w:val="16"/>
            </w:rPr>
            <w:instrText xml:space="preserve"> NUMPAGES   \* MERGEFORMAT </w:instrText>
          </w:r>
          <w:r w:rsidR="00C424EA" w:rsidRPr="00C424EA">
            <w:rPr>
              <w:sz w:val="16"/>
              <w:szCs w:val="16"/>
            </w:rPr>
            <w:fldChar w:fldCharType="separate"/>
          </w:r>
          <w:r w:rsidR="003367F4">
            <w:rPr>
              <w:noProof/>
              <w:sz w:val="16"/>
              <w:szCs w:val="16"/>
            </w:rPr>
            <w:t>3</w:t>
          </w:r>
          <w:r w:rsidR="00C424EA" w:rsidRPr="00C424EA">
            <w:rPr>
              <w:noProof/>
              <w:sz w:val="16"/>
              <w:szCs w:val="16"/>
            </w:rPr>
            <w:fldChar w:fldCharType="end"/>
          </w:r>
        </w:p>
      </w:tc>
    </w:tr>
  </w:tbl>
  <w:p w:rsidR="001F2A46" w:rsidRPr="000B65C7" w:rsidRDefault="001F2A46"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EBF" w:rsidRDefault="00D95EBF" w:rsidP="00764006">
      <w:pPr>
        <w:spacing w:line="240" w:lineRule="auto"/>
      </w:pPr>
      <w:r>
        <w:separator/>
      </w:r>
    </w:p>
  </w:footnote>
  <w:footnote w:type="continuationSeparator" w:id="0">
    <w:p w:rsidR="00D95EBF" w:rsidRDefault="00D95EB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F6A" w:rsidRDefault="00C54F6A" w:rsidP="00C54F6A">
    <w:pPr>
      <w:pStyle w:val="Dokumententitel"/>
    </w:pPr>
  </w:p>
  <w:p w:rsidR="00C54F6A" w:rsidRPr="00C15D91" w:rsidRDefault="00C54F6A" w:rsidP="00C54F6A">
    <w:pPr>
      <w:pStyle w:val="Dokumententitel"/>
    </w:pPr>
    <w:r>
      <w:rPr>
        <w:lang w:eastAsia="de-AT"/>
      </w:rPr>
      <w:drawing>
        <wp:anchor distT="0" distB="0" distL="114300" distR="114300" simplePos="0" relativeHeight="251659264" behindDoc="0" locked="0" layoutInCell="1" allowOverlap="1" wp14:anchorId="3E82DEDD" wp14:editId="3DAC962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9B1F27">
      <w:t xml:space="preserve"> </w:t>
    </w:r>
    <w:r w:rsidR="00AC41C7">
      <w:t>information</w:t>
    </w:r>
  </w:p>
  <w:p w:rsidR="00585363" w:rsidRPr="00C54F6A" w:rsidRDefault="00585363"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AF0074D"/>
    <w:multiLevelType w:val="hybridMultilevel"/>
    <w:tmpl w:val="66E4952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C307545"/>
    <w:multiLevelType w:val="hybridMultilevel"/>
    <w:tmpl w:val="729685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B0008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1"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0"/>
  </w:num>
  <w:num w:numId="5">
    <w:abstractNumId w:val="11"/>
  </w:num>
  <w:num w:numId="6">
    <w:abstractNumId w:val="1"/>
  </w:num>
  <w:num w:numId="7">
    <w:abstractNumId w:val="0"/>
  </w:num>
  <w:num w:numId="8">
    <w:abstractNumId w:val="9"/>
  </w:num>
  <w:num w:numId="9">
    <w:abstractNumId w:val="2"/>
  </w:num>
  <w:num w:numId="10">
    <w:abstractNumId w:val="12"/>
  </w:num>
  <w:num w:numId="11">
    <w:abstractNumId w:val="6"/>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AT" w:vendorID="64" w:dllVersion="131078" w:nlCheck="1" w:checkStyle="0"/>
  <w:activeWritingStyle w:appName="MSWord" w:lang="en-US" w:vendorID="64" w:dllVersion="131078" w:nlCheck="1" w:checkStyle="1"/>
  <w:activeWritingStyle w:appName="MSWord" w:lang="en-AU" w:vendorID="64" w:dllVersion="131078" w:nlCheck="1" w:checkStyle="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FC6"/>
    <w:rsid w:val="00015103"/>
    <w:rsid w:val="000220DD"/>
    <w:rsid w:val="000362EF"/>
    <w:rsid w:val="00045C9C"/>
    <w:rsid w:val="00045F47"/>
    <w:rsid w:val="00047282"/>
    <w:rsid w:val="0007311D"/>
    <w:rsid w:val="00086319"/>
    <w:rsid w:val="00095936"/>
    <w:rsid w:val="000A267E"/>
    <w:rsid w:val="000A6CE7"/>
    <w:rsid w:val="000B65C7"/>
    <w:rsid w:val="000C38EE"/>
    <w:rsid w:val="000D32EB"/>
    <w:rsid w:val="000E20AF"/>
    <w:rsid w:val="000E33BA"/>
    <w:rsid w:val="000E33FB"/>
    <w:rsid w:val="000F6CC2"/>
    <w:rsid w:val="000F750C"/>
    <w:rsid w:val="00100BDA"/>
    <w:rsid w:val="00102353"/>
    <w:rsid w:val="00103B57"/>
    <w:rsid w:val="00106523"/>
    <w:rsid w:val="00114EE0"/>
    <w:rsid w:val="0012627D"/>
    <w:rsid w:val="00131A55"/>
    <w:rsid w:val="001338DB"/>
    <w:rsid w:val="00142015"/>
    <w:rsid w:val="00142599"/>
    <w:rsid w:val="00142D0C"/>
    <w:rsid w:val="00147C5F"/>
    <w:rsid w:val="00152760"/>
    <w:rsid w:val="00155AE9"/>
    <w:rsid w:val="00165988"/>
    <w:rsid w:val="00183067"/>
    <w:rsid w:val="00185FCF"/>
    <w:rsid w:val="0019186D"/>
    <w:rsid w:val="00191D7D"/>
    <w:rsid w:val="00195BA1"/>
    <w:rsid w:val="001A6E46"/>
    <w:rsid w:val="001A743C"/>
    <w:rsid w:val="001B450B"/>
    <w:rsid w:val="001B46E9"/>
    <w:rsid w:val="001B4929"/>
    <w:rsid w:val="001C1838"/>
    <w:rsid w:val="001C40DE"/>
    <w:rsid w:val="001C4100"/>
    <w:rsid w:val="001D7887"/>
    <w:rsid w:val="001E6404"/>
    <w:rsid w:val="001F2A46"/>
    <w:rsid w:val="0020344F"/>
    <w:rsid w:val="00203677"/>
    <w:rsid w:val="00220DA8"/>
    <w:rsid w:val="00223EA8"/>
    <w:rsid w:val="0023663F"/>
    <w:rsid w:val="00245527"/>
    <w:rsid w:val="00250BA2"/>
    <w:rsid w:val="00262F29"/>
    <w:rsid w:val="0026487A"/>
    <w:rsid w:val="00265358"/>
    <w:rsid w:val="00273328"/>
    <w:rsid w:val="002820AB"/>
    <w:rsid w:val="002A1224"/>
    <w:rsid w:val="002A19B6"/>
    <w:rsid w:val="002A3009"/>
    <w:rsid w:val="002A564B"/>
    <w:rsid w:val="002B01D3"/>
    <w:rsid w:val="002C0149"/>
    <w:rsid w:val="002C36E5"/>
    <w:rsid w:val="002C69C9"/>
    <w:rsid w:val="002D4089"/>
    <w:rsid w:val="002D6158"/>
    <w:rsid w:val="003107A7"/>
    <w:rsid w:val="00310975"/>
    <w:rsid w:val="00314A98"/>
    <w:rsid w:val="00320511"/>
    <w:rsid w:val="00322CCA"/>
    <w:rsid w:val="003327F2"/>
    <w:rsid w:val="003367F4"/>
    <w:rsid w:val="00336D99"/>
    <w:rsid w:val="00343BB5"/>
    <w:rsid w:val="00345413"/>
    <w:rsid w:val="00353A88"/>
    <w:rsid w:val="00367F43"/>
    <w:rsid w:val="0037168C"/>
    <w:rsid w:val="00377F06"/>
    <w:rsid w:val="00382EDF"/>
    <w:rsid w:val="00386B3D"/>
    <w:rsid w:val="0039221F"/>
    <w:rsid w:val="003937AD"/>
    <w:rsid w:val="003A1305"/>
    <w:rsid w:val="003A35D1"/>
    <w:rsid w:val="003A5CDA"/>
    <w:rsid w:val="003A6D30"/>
    <w:rsid w:val="003B2F92"/>
    <w:rsid w:val="003B47D3"/>
    <w:rsid w:val="003B509C"/>
    <w:rsid w:val="003B5271"/>
    <w:rsid w:val="003B62B4"/>
    <w:rsid w:val="003B7A94"/>
    <w:rsid w:val="003E1FFC"/>
    <w:rsid w:val="003E3F4D"/>
    <w:rsid w:val="003E6164"/>
    <w:rsid w:val="004022C2"/>
    <w:rsid w:val="004104A8"/>
    <w:rsid w:val="00421BE2"/>
    <w:rsid w:val="004242C5"/>
    <w:rsid w:val="004265B6"/>
    <w:rsid w:val="004272DB"/>
    <w:rsid w:val="00427466"/>
    <w:rsid w:val="004277EE"/>
    <w:rsid w:val="00431015"/>
    <w:rsid w:val="0043387C"/>
    <w:rsid w:val="00440DC9"/>
    <w:rsid w:val="00451FDA"/>
    <w:rsid w:val="00456A9F"/>
    <w:rsid w:val="004610E8"/>
    <w:rsid w:val="00462574"/>
    <w:rsid w:val="00463BC2"/>
    <w:rsid w:val="00464F70"/>
    <w:rsid w:val="004713CE"/>
    <w:rsid w:val="004746BE"/>
    <w:rsid w:val="0047613B"/>
    <w:rsid w:val="004832B0"/>
    <w:rsid w:val="00483405"/>
    <w:rsid w:val="00494C82"/>
    <w:rsid w:val="004A3FD4"/>
    <w:rsid w:val="004B219C"/>
    <w:rsid w:val="004B3F79"/>
    <w:rsid w:val="004C5917"/>
    <w:rsid w:val="004F6ECF"/>
    <w:rsid w:val="0050153C"/>
    <w:rsid w:val="005136AB"/>
    <w:rsid w:val="00523149"/>
    <w:rsid w:val="00534D59"/>
    <w:rsid w:val="00545BF8"/>
    <w:rsid w:val="005534D9"/>
    <w:rsid w:val="00560A7A"/>
    <w:rsid w:val="00571727"/>
    <w:rsid w:val="00572ACA"/>
    <w:rsid w:val="00574AF2"/>
    <w:rsid w:val="0058443D"/>
    <w:rsid w:val="00585363"/>
    <w:rsid w:val="00595F5F"/>
    <w:rsid w:val="005A42B3"/>
    <w:rsid w:val="005A4860"/>
    <w:rsid w:val="005B3F84"/>
    <w:rsid w:val="005B5337"/>
    <w:rsid w:val="005C52BE"/>
    <w:rsid w:val="005D0C18"/>
    <w:rsid w:val="005D56DA"/>
    <w:rsid w:val="005D71EC"/>
    <w:rsid w:val="005E2C94"/>
    <w:rsid w:val="005E5427"/>
    <w:rsid w:val="005F0CD7"/>
    <w:rsid w:val="005F1EA6"/>
    <w:rsid w:val="005F366F"/>
    <w:rsid w:val="006037FB"/>
    <w:rsid w:val="00606EB8"/>
    <w:rsid w:val="00610D92"/>
    <w:rsid w:val="00614B22"/>
    <w:rsid w:val="006150A8"/>
    <w:rsid w:val="00617806"/>
    <w:rsid w:val="00623EDB"/>
    <w:rsid w:val="0062546A"/>
    <w:rsid w:val="00625B35"/>
    <w:rsid w:val="00626565"/>
    <w:rsid w:val="006273C7"/>
    <w:rsid w:val="00630310"/>
    <w:rsid w:val="006437FF"/>
    <w:rsid w:val="00643CDE"/>
    <w:rsid w:val="00660B22"/>
    <w:rsid w:val="00664198"/>
    <w:rsid w:val="0067197F"/>
    <w:rsid w:val="0067659E"/>
    <w:rsid w:val="00676996"/>
    <w:rsid w:val="00677B13"/>
    <w:rsid w:val="006955DC"/>
    <w:rsid w:val="006A109C"/>
    <w:rsid w:val="006B28AB"/>
    <w:rsid w:val="006B29B2"/>
    <w:rsid w:val="006B4E87"/>
    <w:rsid w:val="006B7887"/>
    <w:rsid w:val="006C2268"/>
    <w:rsid w:val="006C79BB"/>
    <w:rsid w:val="006D240C"/>
    <w:rsid w:val="006D7ABD"/>
    <w:rsid w:val="006E3CD3"/>
    <w:rsid w:val="006F0740"/>
    <w:rsid w:val="006F4F34"/>
    <w:rsid w:val="007003DA"/>
    <w:rsid w:val="00704BFD"/>
    <w:rsid w:val="007058A0"/>
    <w:rsid w:val="0071184A"/>
    <w:rsid w:val="00722C1F"/>
    <w:rsid w:val="0072360D"/>
    <w:rsid w:val="007303A5"/>
    <w:rsid w:val="007317B6"/>
    <w:rsid w:val="00733C81"/>
    <w:rsid w:val="007344D8"/>
    <w:rsid w:val="00740CEB"/>
    <w:rsid w:val="00742585"/>
    <w:rsid w:val="00743B0E"/>
    <w:rsid w:val="007442EB"/>
    <w:rsid w:val="007502BB"/>
    <w:rsid w:val="00752E6C"/>
    <w:rsid w:val="007549DF"/>
    <w:rsid w:val="00756BAA"/>
    <w:rsid w:val="00764006"/>
    <w:rsid w:val="00764B56"/>
    <w:rsid w:val="007663DF"/>
    <w:rsid w:val="00775A54"/>
    <w:rsid w:val="00776267"/>
    <w:rsid w:val="007771C5"/>
    <w:rsid w:val="00780173"/>
    <w:rsid w:val="00787E86"/>
    <w:rsid w:val="007927AE"/>
    <w:rsid w:val="00794459"/>
    <w:rsid w:val="007A0C76"/>
    <w:rsid w:val="007A54A1"/>
    <w:rsid w:val="007B1786"/>
    <w:rsid w:val="007B1C97"/>
    <w:rsid w:val="007B362F"/>
    <w:rsid w:val="007B630A"/>
    <w:rsid w:val="007C0613"/>
    <w:rsid w:val="007C1E1D"/>
    <w:rsid w:val="007C7364"/>
    <w:rsid w:val="007D08F3"/>
    <w:rsid w:val="007D0E42"/>
    <w:rsid w:val="007D148B"/>
    <w:rsid w:val="007D6ACE"/>
    <w:rsid w:val="007F2311"/>
    <w:rsid w:val="007F34B1"/>
    <w:rsid w:val="007F4E5E"/>
    <w:rsid w:val="007F4F96"/>
    <w:rsid w:val="007F6B43"/>
    <w:rsid w:val="00806F99"/>
    <w:rsid w:val="00807724"/>
    <w:rsid w:val="00812E4D"/>
    <w:rsid w:val="00821DAB"/>
    <w:rsid w:val="00837915"/>
    <w:rsid w:val="00850C48"/>
    <w:rsid w:val="00852D42"/>
    <w:rsid w:val="00853570"/>
    <w:rsid w:val="00854D8B"/>
    <w:rsid w:val="00855ECE"/>
    <w:rsid w:val="0085607B"/>
    <w:rsid w:val="00856E68"/>
    <w:rsid w:val="00860B5B"/>
    <w:rsid w:val="00860C5A"/>
    <w:rsid w:val="00870A0F"/>
    <w:rsid w:val="0087183E"/>
    <w:rsid w:val="00874136"/>
    <w:rsid w:val="00884364"/>
    <w:rsid w:val="0088695A"/>
    <w:rsid w:val="00894DA5"/>
    <w:rsid w:val="00896E3C"/>
    <w:rsid w:val="008A27C2"/>
    <w:rsid w:val="008A6166"/>
    <w:rsid w:val="008A7772"/>
    <w:rsid w:val="008B0223"/>
    <w:rsid w:val="008B7DCA"/>
    <w:rsid w:val="008C1E4D"/>
    <w:rsid w:val="008C2429"/>
    <w:rsid w:val="008C5A1B"/>
    <w:rsid w:val="008C62E5"/>
    <w:rsid w:val="008C7CB8"/>
    <w:rsid w:val="008D06BE"/>
    <w:rsid w:val="008D1D93"/>
    <w:rsid w:val="008D7FF7"/>
    <w:rsid w:val="008E7A6F"/>
    <w:rsid w:val="008F0F4D"/>
    <w:rsid w:val="008F2AC5"/>
    <w:rsid w:val="009006FC"/>
    <w:rsid w:val="00903DEA"/>
    <w:rsid w:val="0090593C"/>
    <w:rsid w:val="00912C82"/>
    <w:rsid w:val="00914596"/>
    <w:rsid w:val="00920D0B"/>
    <w:rsid w:val="009242D9"/>
    <w:rsid w:val="009248C3"/>
    <w:rsid w:val="009275F8"/>
    <w:rsid w:val="009321FE"/>
    <w:rsid w:val="00963BEA"/>
    <w:rsid w:val="00970363"/>
    <w:rsid w:val="009768AC"/>
    <w:rsid w:val="009805A6"/>
    <w:rsid w:val="00981E8E"/>
    <w:rsid w:val="00986D52"/>
    <w:rsid w:val="00997C23"/>
    <w:rsid w:val="009A206D"/>
    <w:rsid w:val="009A5277"/>
    <w:rsid w:val="009A61A0"/>
    <w:rsid w:val="009B1F27"/>
    <w:rsid w:val="009B268D"/>
    <w:rsid w:val="009B6420"/>
    <w:rsid w:val="009C0293"/>
    <w:rsid w:val="009D1BC4"/>
    <w:rsid w:val="009E2033"/>
    <w:rsid w:val="009E4C9B"/>
    <w:rsid w:val="009E79F0"/>
    <w:rsid w:val="00A00CCD"/>
    <w:rsid w:val="00A01BF4"/>
    <w:rsid w:val="00A035F1"/>
    <w:rsid w:val="00A06684"/>
    <w:rsid w:val="00A22B75"/>
    <w:rsid w:val="00A34171"/>
    <w:rsid w:val="00A35831"/>
    <w:rsid w:val="00A471EA"/>
    <w:rsid w:val="00A510C0"/>
    <w:rsid w:val="00A575D3"/>
    <w:rsid w:val="00A63795"/>
    <w:rsid w:val="00A67E5B"/>
    <w:rsid w:val="00A72304"/>
    <w:rsid w:val="00A874D1"/>
    <w:rsid w:val="00A97BFD"/>
    <w:rsid w:val="00AA055D"/>
    <w:rsid w:val="00AA52E5"/>
    <w:rsid w:val="00AA7624"/>
    <w:rsid w:val="00AB2EE2"/>
    <w:rsid w:val="00AC41C7"/>
    <w:rsid w:val="00AC55E3"/>
    <w:rsid w:val="00AD2A6E"/>
    <w:rsid w:val="00AD3796"/>
    <w:rsid w:val="00AE188F"/>
    <w:rsid w:val="00AE2387"/>
    <w:rsid w:val="00AE4CB5"/>
    <w:rsid w:val="00AF2210"/>
    <w:rsid w:val="00AF330A"/>
    <w:rsid w:val="00B03B65"/>
    <w:rsid w:val="00B06010"/>
    <w:rsid w:val="00B1229D"/>
    <w:rsid w:val="00B23EE6"/>
    <w:rsid w:val="00B256B5"/>
    <w:rsid w:val="00B31125"/>
    <w:rsid w:val="00B41D07"/>
    <w:rsid w:val="00B4317D"/>
    <w:rsid w:val="00B4759A"/>
    <w:rsid w:val="00B64272"/>
    <w:rsid w:val="00B64531"/>
    <w:rsid w:val="00B74D4F"/>
    <w:rsid w:val="00B8155C"/>
    <w:rsid w:val="00B932A7"/>
    <w:rsid w:val="00B95BAE"/>
    <w:rsid w:val="00BB3138"/>
    <w:rsid w:val="00BB73BD"/>
    <w:rsid w:val="00BC12AE"/>
    <w:rsid w:val="00BC67B9"/>
    <w:rsid w:val="00BD53E1"/>
    <w:rsid w:val="00BE05A5"/>
    <w:rsid w:val="00BE0EBD"/>
    <w:rsid w:val="00C06703"/>
    <w:rsid w:val="00C07327"/>
    <w:rsid w:val="00C1252C"/>
    <w:rsid w:val="00C13257"/>
    <w:rsid w:val="00C167D5"/>
    <w:rsid w:val="00C17586"/>
    <w:rsid w:val="00C22048"/>
    <w:rsid w:val="00C22070"/>
    <w:rsid w:val="00C22962"/>
    <w:rsid w:val="00C25152"/>
    <w:rsid w:val="00C2672F"/>
    <w:rsid w:val="00C33356"/>
    <w:rsid w:val="00C333F7"/>
    <w:rsid w:val="00C41621"/>
    <w:rsid w:val="00C424EA"/>
    <w:rsid w:val="00C427DF"/>
    <w:rsid w:val="00C442BE"/>
    <w:rsid w:val="00C54F6A"/>
    <w:rsid w:val="00C63A0D"/>
    <w:rsid w:val="00C65F60"/>
    <w:rsid w:val="00C668EB"/>
    <w:rsid w:val="00C83128"/>
    <w:rsid w:val="00C834F9"/>
    <w:rsid w:val="00C843AC"/>
    <w:rsid w:val="00C84540"/>
    <w:rsid w:val="00C8748C"/>
    <w:rsid w:val="00CA4E1A"/>
    <w:rsid w:val="00CA5A78"/>
    <w:rsid w:val="00CA5C99"/>
    <w:rsid w:val="00CC797E"/>
    <w:rsid w:val="00CD6174"/>
    <w:rsid w:val="00CE38E3"/>
    <w:rsid w:val="00CE57C8"/>
    <w:rsid w:val="00CE5C9C"/>
    <w:rsid w:val="00D01632"/>
    <w:rsid w:val="00D024D9"/>
    <w:rsid w:val="00D0311C"/>
    <w:rsid w:val="00D1043D"/>
    <w:rsid w:val="00D10B90"/>
    <w:rsid w:val="00D119C3"/>
    <w:rsid w:val="00D21DC4"/>
    <w:rsid w:val="00D25CDB"/>
    <w:rsid w:val="00D260D1"/>
    <w:rsid w:val="00D37213"/>
    <w:rsid w:val="00D50250"/>
    <w:rsid w:val="00D575CA"/>
    <w:rsid w:val="00D60658"/>
    <w:rsid w:val="00D66FB8"/>
    <w:rsid w:val="00D72569"/>
    <w:rsid w:val="00D745F5"/>
    <w:rsid w:val="00D77C93"/>
    <w:rsid w:val="00D85C8C"/>
    <w:rsid w:val="00D92EC2"/>
    <w:rsid w:val="00D94CE5"/>
    <w:rsid w:val="00D94F09"/>
    <w:rsid w:val="00D95EBF"/>
    <w:rsid w:val="00D97889"/>
    <w:rsid w:val="00D9788A"/>
    <w:rsid w:val="00DA2DD2"/>
    <w:rsid w:val="00DA7496"/>
    <w:rsid w:val="00DB3994"/>
    <w:rsid w:val="00DB5508"/>
    <w:rsid w:val="00DC3412"/>
    <w:rsid w:val="00DC4071"/>
    <w:rsid w:val="00DD2A0D"/>
    <w:rsid w:val="00DD36CD"/>
    <w:rsid w:val="00DE10C1"/>
    <w:rsid w:val="00DF270B"/>
    <w:rsid w:val="00DF36AC"/>
    <w:rsid w:val="00DF637D"/>
    <w:rsid w:val="00DF6D64"/>
    <w:rsid w:val="00E041E4"/>
    <w:rsid w:val="00E171CE"/>
    <w:rsid w:val="00E21D57"/>
    <w:rsid w:val="00E2631D"/>
    <w:rsid w:val="00E27912"/>
    <w:rsid w:val="00E33AA2"/>
    <w:rsid w:val="00E3431A"/>
    <w:rsid w:val="00E44BB9"/>
    <w:rsid w:val="00E47420"/>
    <w:rsid w:val="00E52190"/>
    <w:rsid w:val="00E56A1B"/>
    <w:rsid w:val="00E63BC3"/>
    <w:rsid w:val="00E63DE2"/>
    <w:rsid w:val="00E66E08"/>
    <w:rsid w:val="00E72BB5"/>
    <w:rsid w:val="00E8292C"/>
    <w:rsid w:val="00E8471F"/>
    <w:rsid w:val="00E91F09"/>
    <w:rsid w:val="00E927FC"/>
    <w:rsid w:val="00E967EB"/>
    <w:rsid w:val="00EA410B"/>
    <w:rsid w:val="00EB4632"/>
    <w:rsid w:val="00EB6E2E"/>
    <w:rsid w:val="00EC09AC"/>
    <w:rsid w:val="00EC1320"/>
    <w:rsid w:val="00ED5843"/>
    <w:rsid w:val="00EF4501"/>
    <w:rsid w:val="00EF740E"/>
    <w:rsid w:val="00F04DCF"/>
    <w:rsid w:val="00F10C10"/>
    <w:rsid w:val="00F174AB"/>
    <w:rsid w:val="00F23093"/>
    <w:rsid w:val="00F30444"/>
    <w:rsid w:val="00F35FAE"/>
    <w:rsid w:val="00F361BB"/>
    <w:rsid w:val="00F55627"/>
    <w:rsid w:val="00F56EB8"/>
    <w:rsid w:val="00F62691"/>
    <w:rsid w:val="00F82E3A"/>
    <w:rsid w:val="00F90859"/>
    <w:rsid w:val="00F9169E"/>
    <w:rsid w:val="00FA6051"/>
    <w:rsid w:val="00FB0EAC"/>
    <w:rsid w:val="00FC6563"/>
    <w:rsid w:val="00FC7686"/>
    <w:rsid w:val="00FD25D7"/>
    <w:rsid w:val="00FD66DC"/>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C4ECBE"/>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98F8F-9703-4915-8E0C-703A1543B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3221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14</cp:revision>
  <cp:lastPrinted>2019-02-21T13:46:00Z</cp:lastPrinted>
  <dcterms:created xsi:type="dcterms:W3CDTF">2019-02-22T07:01:00Z</dcterms:created>
  <dcterms:modified xsi:type="dcterms:W3CDTF">2019-02-25T14:54:00Z</dcterms:modified>
</cp:coreProperties>
</file>