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B1" w:rsidRDefault="00AF7CB1" w:rsidP="00B34DB2">
      <w:pPr>
        <w:spacing w:line="360" w:lineRule="auto"/>
        <w:ind w:left="0" w:right="1693"/>
        <w:rPr>
          <w:rFonts w:cs="Arial"/>
          <w:b/>
          <w:sz w:val="28"/>
          <w:szCs w:val="28"/>
        </w:rPr>
      </w:pPr>
    </w:p>
    <w:p w:rsidR="002327A2" w:rsidRDefault="002327A2" w:rsidP="00B34DB2">
      <w:pPr>
        <w:spacing w:line="360" w:lineRule="auto"/>
        <w:ind w:left="0" w:right="1693"/>
        <w:rPr>
          <w:rFonts w:cs="Arial"/>
          <w:b/>
          <w:sz w:val="28"/>
          <w:szCs w:val="28"/>
        </w:rPr>
      </w:pPr>
    </w:p>
    <w:p w:rsidR="0073741E" w:rsidRPr="001D1EB9" w:rsidRDefault="008D4938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it-IT"/>
        </w:rPr>
      </w:pPr>
      <w:r w:rsidRPr="001D1EB9">
        <w:rPr>
          <w:rFonts w:cs="Arial"/>
          <w:b/>
          <w:sz w:val="28"/>
          <w:szCs w:val="28"/>
          <w:lang w:val="it-IT"/>
        </w:rPr>
        <w:t>LogiMAT 2022: TGW presenta nuovi servizi digitali</w:t>
      </w:r>
    </w:p>
    <w:p w:rsidR="00315732" w:rsidRPr="001D1EB9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it-IT"/>
        </w:rPr>
      </w:pPr>
    </w:p>
    <w:p w:rsidR="00D2321A" w:rsidRPr="00D2321A" w:rsidRDefault="00B7544D" w:rsidP="00D2321A">
      <w:pPr>
        <w:spacing w:line="360" w:lineRule="auto"/>
        <w:ind w:left="0" w:right="1693"/>
        <w:jc w:val="left"/>
        <w:rPr>
          <w:rFonts w:cs="Arial"/>
          <w:b/>
          <w:sz w:val="24"/>
          <w:szCs w:val="24"/>
          <w:lang w:val="it-IT"/>
        </w:rPr>
      </w:pPr>
      <w:r w:rsidRPr="00D2321A">
        <w:rPr>
          <w:rFonts w:cs="Arial"/>
          <w:b/>
          <w:sz w:val="24"/>
          <w:szCs w:val="24"/>
          <w:lang w:val="it-IT"/>
        </w:rPr>
        <w:t xml:space="preserve">In qualità di primario </w:t>
      </w:r>
      <w:r w:rsidR="008C37B8" w:rsidRPr="008C37B8">
        <w:rPr>
          <w:rFonts w:cs="Arial"/>
          <w:b/>
          <w:sz w:val="24"/>
          <w:szCs w:val="24"/>
        </w:rPr>
        <w:t>System integrator</w:t>
      </w:r>
      <w:r w:rsidRPr="00D2321A">
        <w:rPr>
          <w:rFonts w:cs="Arial"/>
          <w:b/>
          <w:sz w:val="24"/>
          <w:szCs w:val="24"/>
          <w:lang w:val="it-IT"/>
        </w:rPr>
        <w:t xml:space="preserve">, </w:t>
      </w:r>
      <w:r w:rsidR="00323113" w:rsidRPr="00D2321A">
        <w:rPr>
          <w:rFonts w:cs="Arial"/>
          <w:b/>
          <w:sz w:val="24"/>
          <w:szCs w:val="24"/>
          <w:lang w:val="it-IT"/>
        </w:rPr>
        <w:t>alla popolare fiera di settore (padiglione 5, stand C13)</w:t>
      </w:r>
      <w:r w:rsidR="00323113" w:rsidRPr="00D2321A">
        <w:rPr>
          <w:rFonts w:cs="Arial"/>
          <w:b/>
          <w:sz w:val="24"/>
          <w:szCs w:val="24"/>
          <w:lang w:val="it-IT"/>
        </w:rPr>
        <w:t xml:space="preserve"> </w:t>
      </w:r>
      <w:r w:rsidR="004D665B" w:rsidRPr="00D2321A">
        <w:rPr>
          <w:rFonts w:cs="Arial"/>
          <w:b/>
          <w:sz w:val="24"/>
          <w:szCs w:val="24"/>
          <w:lang w:val="it-IT"/>
        </w:rPr>
        <w:t xml:space="preserve">TGW </w:t>
      </w:r>
      <w:r w:rsidR="00323113" w:rsidRPr="00D2321A">
        <w:rPr>
          <w:rFonts w:cs="Arial"/>
          <w:b/>
          <w:sz w:val="24"/>
          <w:szCs w:val="24"/>
          <w:lang w:val="it-IT"/>
        </w:rPr>
        <w:t>presenterà</w:t>
      </w:r>
      <w:r w:rsidR="00D2321A" w:rsidRPr="00D2321A">
        <w:rPr>
          <w:rFonts w:cs="Arial"/>
          <w:b/>
          <w:sz w:val="24"/>
          <w:szCs w:val="24"/>
          <w:lang w:val="it-IT"/>
        </w:rPr>
        <w:t>:</w:t>
      </w:r>
    </w:p>
    <w:p w:rsidR="00222AA7" w:rsidRPr="001D1EB9" w:rsidRDefault="00D2321A" w:rsidP="00D2321A">
      <w:pPr>
        <w:pStyle w:val="Paragrafoelenco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 xml:space="preserve"> </w:t>
      </w:r>
      <w:r w:rsidR="00B7544D" w:rsidRPr="001D1EB9">
        <w:rPr>
          <w:rFonts w:cs="Arial"/>
          <w:b/>
          <w:sz w:val="24"/>
          <w:szCs w:val="24"/>
          <w:lang w:val="it-IT"/>
        </w:rPr>
        <w:t>la propria gamma</w:t>
      </w:r>
      <w:r w:rsidR="001D1EB9" w:rsidRPr="001D1EB9">
        <w:rPr>
          <w:rFonts w:cs="Arial"/>
          <w:b/>
          <w:sz w:val="24"/>
          <w:szCs w:val="24"/>
          <w:lang w:val="it-IT"/>
        </w:rPr>
        <w:t xml:space="preserve"> completa di soluzioni digitali</w:t>
      </w:r>
      <w:r w:rsidR="00323113" w:rsidRPr="00323113">
        <w:rPr>
          <w:rFonts w:cs="Arial"/>
          <w:b/>
          <w:sz w:val="24"/>
          <w:szCs w:val="24"/>
          <w:lang w:val="it-IT"/>
        </w:rPr>
        <w:t xml:space="preserve"> </w:t>
      </w:r>
    </w:p>
    <w:p w:rsidR="00060901" w:rsidRPr="001D1EB9" w:rsidRDefault="00D2321A" w:rsidP="00C42B3C">
      <w:pPr>
        <w:pStyle w:val="Paragrafoelenco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>tutti i componenti dei suoi impianti</w:t>
      </w:r>
      <w:r w:rsidR="002D499C" w:rsidRPr="001D1EB9">
        <w:rPr>
          <w:rFonts w:cs="Arial"/>
          <w:b/>
          <w:sz w:val="24"/>
          <w:szCs w:val="24"/>
          <w:lang w:val="it-IT"/>
        </w:rPr>
        <w:t xml:space="preserve">: dal software alla robotica e al sistema di </w:t>
      </w:r>
      <w:r w:rsidR="004D665B">
        <w:rPr>
          <w:rFonts w:cs="Arial"/>
          <w:b/>
          <w:sz w:val="24"/>
          <w:szCs w:val="24"/>
          <w:lang w:val="it-IT"/>
        </w:rPr>
        <w:t>controllo</w:t>
      </w:r>
      <w:r w:rsidR="002D499C" w:rsidRPr="001D1EB9">
        <w:rPr>
          <w:rFonts w:cs="Arial"/>
          <w:b/>
          <w:sz w:val="24"/>
          <w:szCs w:val="24"/>
          <w:lang w:val="it-IT"/>
        </w:rPr>
        <w:t>, fino ai moduli meccatronici</w:t>
      </w:r>
    </w:p>
    <w:p w:rsidR="0048357E" w:rsidRPr="001D1EB9" w:rsidRDefault="00D2321A" w:rsidP="00C42B3C">
      <w:pPr>
        <w:pStyle w:val="Paragrafoelenco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>le sue r</w:t>
      </w:r>
      <w:r w:rsidR="004D665B">
        <w:rPr>
          <w:rFonts w:cs="Arial"/>
          <w:b/>
          <w:sz w:val="24"/>
          <w:szCs w:val="24"/>
          <w:lang w:val="it-IT"/>
        </w:rPr>
        <w:t>eferenze di progetti realizzati</w:t>
      </w:r>
      <w:r w:rsidR="002D499C" w:rsidRPr="001D1EB9">
        <w:rPr>
          <w:rFonts w:cs="Arial"/>
          <w:b/>
          <w:sz w:val="24"/>
          <w:szCs w:val="24"/>
          <w:lang w:val="it-IT"/>
        </w:rPr>
        <w:t xml:space="preserve"> per clienti noti a livello internazionale</w:t>
      </w:r>
    </w:p>
    <w:p w:rsidR="00E26207" w:rsidRPr="001D1EB9" w:rsidRDefault="00E26207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it-IT"/>
        </w:rPr>
      </w:pPr>
    </w:p>
    <w:p w:rsidR="00B7544D" w:rsidRPr="001D1EB9" w:rsidRDefault="00EF32D1" w:rsidP="00B34DB2">
      <w:pPr>
        <w:spacing w:line="360" w:lineRule="auto"/>
        <w:ind w:left="0" w:right="1693"/>
        <w:rPr>
          <w:rFonts w:cs="Arial"/>
          <w:b/>
          <w:szCs w:val="20"/>
          <w:lang w:val="it-IT"/>
        </w:rPr>
      </w:pPr>
      <w:r w:rsidRPr="001D1EB9">
        <w:rPr>
          <w:rFonts w:cs="Arial"/>
          <w:b/>
          <w:szCs w:val="20"/>
          <w:lang w:val="it-IT"/>
        </w:rPr>
        <w:t>(Marchtrenk, 21 febbraio 2022) TGW Logistics Group si affaccia all'era digitale con moderne tecnologie. Alla fiera sull'intralogistica LogiMAT, che si terrà a Stoccarda dal 3</w:t>
      </w:r>
      <w:r w:rsidR="00D2321A">
        <w:rPr>
          <w:rFonts w:cs="Arial"/>
          <w:b/>
          <w:szCs w:val="20"/>
          <w:lang w:val="it-IT"/>
        </w:rPr>
        <w:t xml:space="preserve">1 maggio al 2 giugno, l'azienda, </w:t>
      </w:r>
      <w:r w:rsidRPr="001D1EB9">
        <w:rPr>
          <w:rFonts w:cs="Arial"/>
          <w:b/>
          <w:szCs w:val="20"/>
          <w:lang w:val="it-IT"/>
        </w:rPr>
        <w:t xml:space="preserve">fornitrice di </w:t>
      </w:r>
      <w:r w:rsidR="004D665B">
        <w:rPr>
          <w:rFonts w:cs="Arial"/>
          <w:b/>
          <w:szCs w:val="20"/>
          <w:lang w:val="it-IT"/>
        </w:rPr>
        <w:t>sistemi integrati</w:t>
      </w:r>
      <w:r w:rsidR="00D2321A">
        <w:rPr>
          <w:rFonts w:cs="Arial"/>
          <w:b/>
          <w:szCs w:val="20"/>
          <w:lang w:val="it-IT"/>
        </w:rPr>
        <w:t>,</w:t>
      </w:r>
      <w:r w:rsidR="004D665B">
        <w:rPr>
          <w:rFonts w:cs="Arial"/>
          <w:b/>
          <w:szCs w:val="20"/>
          <w:lang w:val="it-IT"/>
        </w:rPr>
        <w:t xml:space="preserve"> </w:t>
      </w:r>
      <w:r w:rsidRPr="001D1EB9">
        <w:rPr>
          <w:rFonts w:cs="Arial"/>
          <w:b/>
          <w:szCs w:val="20"/>
          <w:lang w:val="it-IT"/>
        </w:rPr>
        <w:t xml:space="preserve">presenta tutti i servizi digitali offerti ai </w:t>
      </w:r>
      <w:r w:rsidR="004D665B">
        <w:rPr>
          <w:rFonts w:cs="Arial"/>
          <w:b/>
          <w:szCs w:val="20"/>
          <w:lang w:val="it-IT"/>
        </w:rPr>
        <w:t xml:space="preserve">propri </w:t>
      </w:r>
      <w:r w:rsidRPr="001D1EB9">
        <w:rPr>
          <w:rFonts w:cs="Arial"/>
          <w:b/>
          <w:szCs w:val="20"/>
          <w:lang w:val="it-IT"/>
        </w:rPr>
        <w:t xml:space="preserve">clienti. Essi </w:t>
      </w:r>
      <w:r w:rsidR="004D665B">
        <w:rPr>
          <w:rFonts w:cs="Arial"/>
          <w:b/>
          <w:szCs w:val="20"/>
          <w:lang w:val="it-IT"/>
        </w:rPr>
        <w:t xml:space="preserve">supportano tutto il </w:t>
      </w:r>
      <w:r w:rsidRPr="001D1EB9">
        <w:rPr>
          <w:rFonts w:cs="Arial"/>
          <w:b/>
          <w:szCs w:val="20"/>
          <w:lang w:val="it-IT"/>
        </w:rPr>
        <w:t xml:space="preserve">ciclo di vita completo di un impianto, dalla progettazione alla realizzazione fino al funzionamento </w:t>
      </w:r>
      <w:r w:rsidR="004D665B">
        <w:rPr>
          <w:rFonts w:cs="Arial"/>
          <w:b/>
          <w:szCs w:val="20"/>
          <w:lang w:val="it-IT"/>
        </w:rPr>
        <w:t>a regime.</w:t>
      </w:r>
      <w:r w:rsidRPr="001D1EB9">
        <w:rPr>
          <w:rFonts w:cs="Arial"/>
          <w:b/>
          <w:szCs w:val="20"/>
          <w:lang w:val="it-IT"/>
        </w:rPr>
        <w:t xml:space="preserve"> In particolare l'attenzione è concentrata sulle innovazioni che supportano le aziende per r</w:t>
      </w:r>
      <w:r w:rsidR="001D1EB9">
        <w:rPr>
          <w:rFonts w:cs="Arial"/>
          <w:b/>
          <w:szCs w:val="20"/>
          <w:lang w:val="it-IT"/>
        </w:rPr>
        <w:t>enderle ancora più competitive.</w:t>
      </w:r>
    </w:p>
    <w:p w:rsidR="005939BF" w:rsidRPr="001D1EB9" w:rsidRDefault="005939BF" w:rsidP="00E21B14">
      <w:pPr>
        <w:spacing w:line="360" w:lineRule="auto"/>
        <w:ind w:left="0" w:right="1693"/>
        <w:rPr>
          <w:rFonts w:cs="Arial"/>
          <w:b/>
          <w:szCs w:val="20"/>
          <w:lang w:val="it-IT"/>
        </w:rPr>
      </w:pPr>
    </w:p>
    <w:p w:rsidR="007104F7" w:rsidRPr="001D1EB9" w:rsidRDefault="009E252D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1D1EB9">
        <w:rPr>
          <w:rFonts w:cs="Arial"/>
          <w:bCs/>
          <w:szCs w:val="20"/>
          <w:lang w:val="it-IT"/>
        </w:rPr>
        <w:t xml:space="preserve">"TGW può contare su oltre cinquant'anni di esperienza nello sviluppo di moduli meccatronici e ha realizzato con successo centinaia di progetti in tutto il mondo come </w:t>
      </w:r>
      <w:r w:rsidR="008C37B8">
        <w:rPr>
          <w:rStyle w:val="Collegamentoipertestuale"/>
          <w:color w:val="auto"/>
          <w:u w:val="none"/>
          <w:lang w:val="it-IT"/>
        </w:rPr>
        <w:t>System integrator</w:t>
      </w:r>
      <w:r w:rsidRPr="001D1EB9">
        <w:rPr>
          <w:rFonts w:cs="Arial"/>
          <w:bCs/>
          <w:szCs w:val="20"/>
          <w:lang w:val="it-IT"/>
        </w:rPr>
        <w:t>. Con la nos</w:t>
      </w:r>
      <w:r w:rsidR="004D665B">
        <w:rPr>
          <w:rFonts w:cs="Arial"/>
          <w:bCs/>
          <w:szCs w:val="20"/>
          <w:lang w:val="it-IT"/>
        </w:rPr>
        <w:t>tra offerta di servizi digitali</w:t>
      </w:r>
      <w:r w:rsidRPr="001D1EB9">
        <w:rPr>
          <w:rFonts w:cs="Arial"/>
          <w:bCs/>
          <w:szCs w:val="20"/>
          <w:lang w:val="it-IT"/>
        </w:rPr>
        <w:t xml:space="preserve"> </w:t>
      </w:r>
      <w:r w:rsidR="00AA442C">
        <w:rPr>
          <w:rFonts w:cs="Arial"/>
          <w:bCs/>
          <w:szCs w:val="20"/>
          <w:lang w:val="it-IT"/>
        </w:rPr>
        <w:t xml:space="preserve">che viene </w:t>
      </w:r>
      <w:r w:rsidR="004D665B">
        <w:rPr>
          <w:rFonts w:cs="Arial"/>
          <w:bCs/>
          <w:szCs w:val="20"/>
          <w:lang w:val="it-IT"/>
        </w:rPr>
        <w:t>continuam</w:t>
      </w:r>
      <w:r w:rsidR="004D665B" w:rsidRPr="001D1EB9">
        <w:rPr>
          <w:rFonts w:cs="Arial"/>
          <w:bCs/>
          <w:szCs w:val="20"/>
          <w:lang w:val="it-IT"/>
        </w:rPr>
        <w:t>ente</w:t>
      </w:r>
      <w:r w:rsidR="004D665B">
        <w:rPr>
          <w:rFonts w:cs="Arial"/>
          <w:bCs/>
          <w:szCs w:val="20"/>
          <w:lang w:val="it-IT"/>
        </w:rPr>
        <w:t xml:space="preserve"> </w:t>
      </w:r>
      <w:r w:rsidR="00AA442C">
        <w:rPr>
          <w:rFonts w:cs="Arial"/>
          <w:bCs/>
          <w:szCs w:val="20"/>
          <w:lang w:val="it-IT"/>
        </w:rPr>
        <w:t>ampliata</w:t>
      </w:r>
      <w:r w:rsidRPr="001D1EB9">
        <w:rPr>
          <w:rFonts w:cs="Arial"/>
          <w:bCs/>
          <w:szCs w:val="20"/>
          <w:lang w:val="it-IT"/>
        </w:rPr>
        <w:t xml:space="preserve">, i clienti sono preparati </w:t>
      </w:r>
      <w:r w:rsidR="004D665B">
        <w:rPr>
          <w:rFonts w:cs="Arial"/>
          <w:bCs/>
          <w:szCs w:val="20"/>
          <w:lang w:val="it-IT"/>
        </w:rPr>
        <w:t xml:space="preserve">al meglio </w:t>
      </w:r>
      <w:r w:rsidRPr="001D1EB9">
        <w:rPr>
          <w:rFonts w:cs="Arial"/>
          <w:bCs/>
          <w:szCs w:val="20"/>
          <w:lang w:val="it-IT"/>
        </w:rPr>
        <w:t>anche per</w:t>
      </w:r>
      <w:r w:rsidR="004D665B">
        <w:rPr>
          <w:rFonts w:cs="Arial"/>
          <w:bCs/>
          <w:szCs w:val="20"/>
          <w:lang w:val="it-IT"/>
        </w:rPr>
        <w:t xml:space="preserve"> affrontare </w:t>
      </w:r>
      <w:r w:rsidRPr="001D1EB9">
        <w:rPr>
          <w:rFonts w:cs="Arial"/>
          <w:bCs/>
          <w:szCs w:val="20"/>
          <w:lang w:val="it-IT"/>
        </w:rPr>
        <w:t>le esigenze di domani", sottolinea Matthias Stötzner, Director Sales presso TGW Systems Integration. "TGW coniuga competenza nei sistemi e know-how software con l'obiettivo di fornire soluzioni end-to-end su misura secondo il più recente stato della tecnica."</w:t>
      </w:r>
    </w:p>
    <w:p w:rsidR="007104F7" w:rsidRPr="001D1EB9" w:rsidRDefault="007104F7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446F4E" w:rsidRPr="001D1EB9" w:rsidRDefault="007104F7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1D1EB9">
        <w:rPr>
          <w:rFonts w:cs="Arial"/>
          <w:bCs/>
          <w:szCs w:val="20"/>
          <w:lang w:val="it-IT"/>
        </w:rPr>
        <w:t xml:space="preserve">Lo stand TGW alla fiera LogiMAT punta su un concetto aperto di comunicazione. Accanto a moduli, sistemi e soluzioni, l'attenzione è rivolta anche a progetti </w:t>
      </w:r>
      <w:r w:rsidR="00D2321A">
        <w:rPr>
          <w:rFonts w:cs="Arial"/>
          <w:bCs/>
          <w:szCs w:val="20"/>
          <w:lang w:val="it-IT"/>
        </w:rPr>
        <w:t xml:space="preserve">realizzati per </w:t>
      </w:r>
      <w:r w:rsidRPr="001D1EB9">
        <w:rPr>
          <w:rFonts w:cs="Arial"/>
          <w:bCs/>
          <w:szCs w:val="20"/>
          <w:lang w:val="it-IT"/>
        </w:rPr>
        <w:t>clienti molto noti, tra i quali ad esempio Coop, PUMA, Fource ed Engelbert Strauss.</w:t>
      </w:r>
    </w:p>
    <w:p w:rsidR="00805136" w:rsidRPr="001D1EB9" w:rsidRDefault="00805136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805136" w:rsidRPr="001D1EB9" w:rsidRDefault="00805136" w:rsidP="004C4ACF">
      <w:pPr>
        <w:spacing w:line="360" w:lineRule="auto"/>
        <w:ind w:left="0" w:right="1693"/>
        <w:rPr>
          <w:rFonts w:cs="Arial"/>
          <w:b/>
          <w:bCs/>
          <w:szCs w:val="20"/>
          <w:lang w:val="it-IT"/>
        </w:rPr>
      </w:pPr>
      <w:r w:rsidRPr="001D1EB9">
        <w:rPr>
          <w:rFonts w:cs="Arial"/>
          <w:b/>
          <w:bCs/>
          <w:szCs w:val="20"/>
          <w:lang w:val="it-IT"/>
        </w:rPr>
        <w:t>Ciclo di vita digitale</w:t>
      </w:r>
    </w:p>
    <w:p w:rsidR="0013383F" w:rsidRPr="001D1EB9" w:rsidRDefault="0013383F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6D6390" w:rsidRDefault="00446F4E" w:rsidP="004C4ACF">
      <w:pPr>
        <w:spacing w:line="360" w:lineRule="auto"/>
        <w:ind w:left="0" w:right="1693"/>
        <w:rPr>
          <w:lang w:val="it-IT"/>
        </w:rPr>
      </w:pPr>
      <w:r w:rsidRPr="001D1EB9">
        <w:rPr>
          <w:rFonts w:cs="Arial"/>
          <w:bCs/>
          <w:szCs w:val="20"/>
          <w:lang w:val="it-IT"/>
        </w:rPr>
        <w:t>TGW Digital Lifecycle comprende servizi e prodotti relativi alle fasi di progettazione, realizzazione e Lifetime Services.</w:t>
      </w:r>
      <w:r w:rsidRPr="001D1EB9">
        <w:rPr>
          <w:lang w:val="it-IT"/>
        </w:rPr>
        <w:t xml:space="preserve"> Oltre 600 specialisti IT si occupano di </w:t>
      </w:r>
      <w:r w:rsidR="00323113">
        <w:rPr>
          <w:lang w:val="it-IT"/>
        </w:rPr>
        <w:t xml:space="preserve">oltre </w:t>
      </w:r>
      <w:r w:rsidRPr="001D1EB9">
        <w:rPr>
          <w:lang w:val="it-IT"/>
        </w:rPr>
        <w:t xml:space="preserve">500 impianti </w:t>
      </w:r>
      <w:r w:rsidRPr="001D1EB9">
        <w:rPr>
          <w:lang w:val="it-IT"/>
        </w:rPr>
        <w:lastRenderedPageBreak/>
        <w:t>in tutto il mondo</w:t>
      </w:r>
      <w:r w:rsidR="00323113">
        <w:rPr>
          <w:lang w:val="it-IT"/>
        </w:rPr>
        <w:t>, l</w:t>
      </w:r>
      <w:r w:rsidRPr="001D1EB9">
        <w:rPr>
          <w:lang w:val="it-IT"/>
        </w:rPr>
        <w:t>avorano allo sviluppo di nuove applicazioni</w:t>
      </w:r>
      <w:r w:rsidR="00323113">
        <w:rPr>
          <w:lang w:val="it-IT"/>
        </w:rPr>
        <w:t xml:space="preserve">, </w:t>
      </w:r>
      <w:r w:rsidRPr="001D1EB9">
        <w:rPr>
          <w:lang w:val="it-IT"/>
        </w:rPr>
        <w:t xml:space="preserve">implementano strumenti e supportano i centri di logistica durante il </w:t>
      </w:r>
      <w:r w:rsidR="00323113">
        <w:rPr>
          <w:lang w:val="it-IT"/>
        </w:rPr>
        <w:t xml:space="preserve">loro </w:t>
      </w:r>
      <w:r w:rsidRPr="001D1EB9">
        <w:rPr>
          <w:lang w:val="it-IT"/>
        </w:rPr>
        <w:t>funzionamento.</w:t>
      </w:r>
    </w:p>
    <w:p w:rsidR="001D1EB9" w:rsidRPr="001D1EB9" w:rsidRDefault="001D1EB9" w:rsidP="004C4ACF">
      <w:pPr>
        <w:spacing w:line="360" w:lineRule="auto"/>
        <w:ind w:left="0" w:right="1693"/>
        <w:rPr>
          <w:lang w:val="it-IT"/>
        </w:rPr>
      </w:pPr>
    </w:p>
    <w:p w:rsidR="00805136" w:rsidRPr="001D1EB9" w:rsidRDefault="00805136" w:rsidP="004C4ACF">
      <w:pPr>
        <w:spacing w:line="360" w:lineRule="auto"/>
        <w:ind w:left="0" w:right="1693"/>
        <w:rPr>
          <w:rFonts w:cs="Arial"/>
          <w:b/>
          <w:bCs/>
          <w:szCs w:val="20"/>
          <w:lang w:val="it-IT"/>
        </w:rPr>
      </w:pPr>
      <w:r w:rsidRPr="001D1EB9">
        <w:rPr>
          <w:rFonts w:cs="Arial"/>
          <w:b/>
          <w:bCs/>
          <w:szCs w:val="20"/>
          <w:lang w:val="it-IT"/>
        </w:rPr>
        <w:t>Efficienza, trasparenza e Return on Investment</w:t>
      </w:r>
    </w:p>
    <w:p w:rsidR="00805136" w:rsidRPr="001D1EB9" w:rsidRDefault="00805136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96506B" w:rsidRPr="001D1EB9" w:rsidRDefault="007A5FAD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1D1EB9">
        <w:rPr>
          <w:rFonts w:cs="Arial"/>
          <w:bCs/>
          <w:szCs w:val="20"/>
          <w:lang w:val="it-IT"/>
        </w:rPr>
        <w:t xml:space="preserve">Le tematiche di efficienza, trasparenza e Return on Investment (ROI) in tempi brevi hanno una rilevanza centrale. Il ciclo di vita nei progetti </w:t>
      </w:r>
      <w:r w:rsidR="00323113">
        <w:rPr>
          <w:rFonts w:cs="Arial"/>
          <w:bCs/>
          <w:szCs w:val="20"/>
          <w:lang w:val="it-IT"/>
        </w:rPr>
        <w:t>integrati</w:t>
      </w:r>
      <w:r w:rsidRPr="001D1EB9">
        <w:rPr>
          <w:rFonts w:cs="Arial"/>
          <w:bCs/>
          <w:szCs w:val="20"/>
          <w:lang w:val="it-IT"/>
        </w:rPr>
        <w:t xml:space="preserve"> avviene a livello digitale, dalla prima analisi dati al collaudo finale. I servizi digitali garantiscono che anche il funzionamento </w:t>
      </w:r>
      <w:r w:rsidR="00323113">
        <w:rPr>
          <w:rFonts w:cs="Arial"/>
          <w:bCs/>
          <w:szCs w:val="20"/>
          <w:lang w:val="it-IT"/>
        </w:rPr>
        <w:t xml:space="preserve">a regime </w:t>
      </w:r>
      <w:r w:rsidRPr="001D1EB9">
        <w:rPr>
          <w:rFonts w:cs="Arial"/>
          <w:bCs/>
          <w:szCs w:val="20"/>
          <w:lang w:val="it-IT"/>
        </w:rPr>
        <w:t xml:space="preserve">dell'impianto avvenga in modo ottimale. TGW è così in grado di offrire la massima disponibilità e affidabilità </w:t>
      </w:r>
      <w:r w:rsidR="00323113">
        <w:rPr>
          <w:rFonts w:cs="Arial"/>
          <w:bCs/>
          <w:szCs w:val="20"/>
          <w:lang w:val="it-IT"/>
        </w:rPr>
        <w:t xml:space="preserve">dei suoi impianti </w:t>
      </w:r>
      <w:r w:rsidRPr="001D1EB9">
        <w:rPr>
          <w:rFonts w:cs="Arial"/>
          <w:bCs/>
          <w:szCs w:val="20"/>
          <w:lang w:val="it-IT"/>
        </w:rPr>
        <w:t>all'insegna del motto: "</w:t>
      </w:r>
      <w:r w:rsidR="0068008A">
        <w:rPr>
          <w:rFonts w:cs="Arial"/>
          <w:bCs/>
          <w:szCs w:val="20"/>
          <w:lang w:val="it-IT"/>
        </w:rPr>
        <w:t>We keep your business running".</w:t>
      </w:r>
    </w:p>
    <w:p w:rsidR="0042095D" w:rsidRPr="001D1EB9" w:rsidRDefault="0042095D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42095D" w:rsidRPr="001D1EB9" w:rsidRDefault="00323113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>
        <w:rPr>
          <w:rFonts w:cs="Arial"/>
          <w:bCs/>
          <w:szCs w:val="20"/>
          <w:lang w:val="it-IT"/>
        </w:rPr>
        <w:t xml:space="preserve">A questo scopo </w:t>
      </w:r>
      <w:r w:rsidR="00FD06FE" w:rsidRPr="001D1EB9">
        <w:rPr>
          <w:rFonts w:cs="Arial"/>
          <w:bCs/>
          <w:szCs w:val="20"/>
          <w:lang w:val="it-IT"/>
        </w:rPr>
        <w:t xml:space="preserve">TGW si avvale </w:t>
      </w:r>
      <w:r>
        <w:rPr>
          <w:rFonts w:cs="Arial"/>
          <w:bCs/>
          <w:szCs w:val="20"/>
          <w:lang w:val="it-IT"/>
        </w:rPr>
        <w:t>d</w:t>
      </w:r>
      <w:r w:rsidR="00FD06FE" w:rsidRPr="001D1EB9">
        <w:rPr>
          <w:rFonts w:cs="Arial"/>
          <w:bCs/>
          <w:szCs w:val="20"/>
          <w:lang w:val="it-IT"/>
        </w:rPr>
        <w:t xml:space="preserve">i una serie di mezzi ausiliari, sia già </w:t>
      </w:r>
      <w:r w:rsidR="008C37B8">
        <w:rPr>
          <w:rFonts w:cs="Arial"/>
          <w:bCs/>
          <w:szCs w:val="20"/>
          <w:lang w:val="it-IT"/>
        </w:rPr>
        <w:t>collaudati</w:t>
      </w:r>
      <w:r w:rsidR="00FD06FE" w:rsidRPr="001D1EB9">
        <w:rPr>
          <w:rFonts w:cs="Arial"/>
          <w:bCs/>
          <w:szCs w:val="20"/>
          <w:lang w:val="it-IT"/>
        </w:rPr>
        <w:t xml:space="preserve"> sia di nuova realizzazione. Strumenti digitali per la progettazione dell'impianto sono ad esempio i layout 3D, le simulazioni e le analisi dati intelligenti. Per la realizzazione TGW si avvale di strumenti agili, come implementazione, emulazione e verifiche delle prestazioni. In ambito operativo i clienti hanno a disposizione, tra l'altro, ambienti per test virtuali, Remote Services o monitoraggio proattivo. Il gemello digitale pluripremiato del robot di prelievo Rovolution </w:t>
      </w:r>
      <w:r w:rsidR="008C37B8">
        <w:rPr>
          <w:rFonts w:cs="Arial"/>
          <w:bCs/>
          <w:szCs w:val="20"/>
          <w:lang w:val="it-IT"/>
        </w:rPr>
        <w:t xml:space="preserve">offre </w:t>
      </w:r>
      <w:r w:rsidR="00FD06FE" w:rsidRPr="001D1EB9">
        <w:rPr>
          <w:rFonts w:cs="Arial"/>
          <w:bCs/>
          <w:szCs w:val="20"/>
          <w:lang w:val="it-IT"/>
        </w:rPr>
        <w:t>un'immagine completa in costante evoluzione e collegata in tempo reale con l'impianto fisico.</w:t>
      </w:r>
    </w:p>
    <w:p w:rsidR="00805136" w:rsidRPr="001D1EB9" w:rsidRDefault="00805136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805136" w:rsidRPr="001D1EB9" w:rsidRDefault="00805136" w:rsidP="004C4ACF">
      <w:pPr>
        <w:spacing w:line="360" w:lineRule="auto"/>
        <w:ind w:left="0" w:right="1693"/>
        <w:rPr>
          <w:rFonts w:cs="Arial"/>
          <w:b/>
          <w:bCs/>
          <w:szCs w:val="20"/>
          <w:lang w:val="it-IT"/>
        </w:rPr>
      </w:pPr>
      <w:r w:rsidRPr="001D1EB9">
        <w:rPr>
          <w:rFonts w:cs="Arial"/>
          <w:b/>
          <w:bCs/>
          <w:szCs w:val="20"/>
          <w:lang w:val="it-IT"/>
        </w:rPr>
        <w:t>Assistenza da un unico fornitore, dal software alla meccatronica</w:t>
      </w:r>
    </w:p>
    <w:p w:rsidR="001713BB" w:rsidRPr="001D1EB9" w:rsidRDefault="001713BB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A567D8" w:rsidRPr="001D1EB9" w:rsidRDefault="0058409A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1D1EB9">
        <w:rPr>
          <w:rFonts w:cs="Arial"/>
          <w:bCs/>
          <w:szCs w:val="20"/>
          <w:lang w:val="it-IT"/>
        </w:rPr>
        <w:t>Le aziende che si affidano a TGW hanno inoltre il vantaggio di avvalersi di un'unica interfaccia per tutta l'assistenza. Rispetto ai soli fornitori di software, la nostra azienda</w:t>
      </w:r>
      <w:r w:rsidR="00323113">
        <w:rPr>
          <w:rFonts w:cs="Arial"/>
          <w:bCs/>
          <w:szCs w:val="20"/>
          <w:lang w:val="it-IT"/>
        </w:rPr>
        <w:t>,</w:t>
      </w:r>
      <w:r w:rsidRPr="001D1EB9">
        <w:rPr>
          <w:rFonts w:cs="Arial"/>
          <w:bCs/>
          <w:szCs w:val="20"/>
          <w:lang w:val="it-IT"/>
        </w:rPr>
        <w:t xml:space="preserve"> </w:t>
      </w:r>
      <w:r w:rsidR="00323113" w:rsidRPr="001D1EB9">
        <w:rPr>
          <w:rFonts w:cs="Arial"/>
          <w:bCs/>
          <w:szCs w:val="20"/>
          <w:lang w:val="it-IT"/>
        </w:rPr>
        <w:t xml:space="preserve">in qualità di </w:t>
      </w:r>
      <w:r w:rsidR="008C37B8">
        <w:rPr>
          <w:rStyle w:val="Collegamentoipertestuale"/>
          <w:color w:val="auto"/>
          <w:u w:val="none"/>
          <w:lang w:val="it-IT"/>
        </w:rPr>
        <w:t>System integrator</w:t>
      </w:r>
      <w:r w:rsidR="00323113" w:rsidRPr="001D1EB9">
        <w:rPr>
          <w:rFonts w:cs="Arial"/>
          <w:bCs/>
          <w:szCs w:val="20"/>
          <w:lang w:val="it-IT"/>
        </w:rPr>
        <w:t xml:space="preserve">, </w:t>
      </w:r>
      <w:r w:rsidRPr="001D1EB9">
        <w:rPr>
          <w:rFonts w:cs="Arial"/>
          <w:bCs/>
          <w:szCs w:val="20"/>
          <w:lang w:val="it-IT"/>
        </w:rPr>
        <w:t xml:space="preserve">progetta e realizza impianti, produce i componenti meccatronici e si </w:t>
      </w:r>
      <w:r w:rsidR="00323113">
        <w:rPr>
          <w:rFonts w:cs="Arial"/>
          <w:bCs/>
          <w:szCs w:val="20"/>
          <w:lang w:val="it-IT"/>
        </w:rPr>
        <w:t>prende cura</w:t>
      </w:r>
      <w:r w:rsidRPr="001D1EB9">
        <w:rPr>
          <w:rFonts w:cs="Arial"/>
          <w:bCs/>
          <w:szCs w:val="20"/>
          <w:lang w:val="it-IT"/>
        </w:rPr>
        <w:t xml:space="preserve"> anche </w:t>
      </w:r>
      <w:r w:rsidR="00323113">
        <w:rPr>
          <w:rFonts w:cs="Arial"/>
          <w:bCs/>
          <w:szCs w:val="20"/>
          <w:lang w:val="it-IT"/>
        </w:rPr>
        <w:t>del</w:t>
      </w:r>
      <w:r w:rsidRPr="001D1EB9">
        <w:rPr>
          <w:rFonts w:cs="Arial"/>
          <w:bCs/>
          <w:szCs w:val="20"/>
          <w:lang w:val="it-IT"/>
        </w:rPr>
        <w:t xml:space="preserve">le complesse modalità di </w:t>
      </w:r>
      <w:r w:rsidR="00323113">
        <w:rPr>
          <w:rFonts w:cs="Arial"/>
          <w:bCs/>
          <w:szCs w:val="20"/>
          <w:lang w:val="it-IT"/>
        </w:rPr>
        <w:t xml:space="preserve">interfaccia </w:t>
      </w:r>
      <w:r w:rsidRPr="001D1EB9">
        <w:rPr>
          <w:rFonts w:cs="Arial"/>
          <w:bCs/>
          <w:szCs w:val="20"/>
          <w:lang w:val="it-IT"/>
        </w:rPr>
        <w:t>software. Pertanto TGW raccoglie i dati di tutte le applicazioni</w:t>
      </w:r>
      <w:r w:rsidR="00323113">
        <w:rPr>
          <w:rFonts w:cs="Arial"/>
          <w:bCs/>
          <w:szCs w:val="20"/>
          <w:lang w:val="it-IT"/>
        </w:rPr>
        <w:t xml:space="preserve">, </w:t>
      </w:r>
      <w:r w:rsidRPr="001D1EB9">
        <w:rPr>
          <w:rFonts w:cs="Arial"/>
          <w:bCs/>
          <w:szCs w:val="20"/>
          <w:lang w:val="it-IT"/>
        </w:rPr>
        <w:t xml:space="preserve">li analizza, </w:t>
      </w:r>
      <w:r w:rsidR="00323113">
        <w:rPr>
          <w:rFonts w:cs="Arial"/>
          <w:bCs/>
          <w:szCs w:val="20"/>
          <w:lang w:val="it-IT"/>
        </w:rPr>
        <w:t xml:space="preserve">li </w:t>
      </w:r>
      <w:r w:rsidRPr="001D1EB9">
        <w:rPr>
          <w:rFonts w:cs="Arial"/>
          <w:bCs/>
          <w:szCs w:val="20"/>
          <w:lang w:val="it-IT"/>
        </w:rPr>
        <w:t>visualizza e</w:t>
      </w:r>
      <w:r w:rsidR="0068008A">
        <w:rPr>
          <w:rFonts w:cs="Arial"/>
          <w:bCs/>
          <w:szCs w:val="20"/>
          <w:lang w:val="it-IT"/>
        </w:rPr>
        <w:t xml:space="preserve"> </w:t>
      </w:r>
      <w:r w:rsidR="00323113">
        <w:rPr>
          <w:rFonts w:cs="Arial"/>
          <w:bCs/>
          <w:szCs w:val="20"/>
          <w:lang w:val="it-IT"/>
        </w:rPr>
        <w:t xml:space="preserve">li </w:t>
      </w:r>
      <w:r w:rsidR="0068008A">
        <w:rPr>
          <w:rFonts w:cs="Arial"/>
          <w:bCs/>
          <w:szCs w:val="20"/>
          <w:lang w:val="it-IT"/>
        </w:rPr>
        <w:t>ottimizza in un unico sistema.</w:t>
      </w:r>
    </w:p>
    <w:p w:rsidR="00A567D8" w:rsidRPr="001D1EB9" w:rsidRDefault="00A567D8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805136" w:rsidRPr="001D1EB9" w:rsidRDefault="005D2283" w:rsidP="006231AE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1D1EB9">
        <w:rPr>
          <w:rFonts w:cs="Arial"/>
          <w:bCs/>
          <w:szCs w:val="20"/>
          <w:lang w:val="it-IT"/>
        </w:rPr>
        <w:t>L'impiego di moderne tecnologie, come l'intelligenza artificiale, rivest</w:t>
      </w:r>
      <w:r w:rsidR="00323113">
        <w:rPr>
          <w:rFonts w:cs="Arial"/>
          <w:bCs/>
          <w:szCs w:val="20"/>
          <w:lang w:val="it-IT"/>
        </w:rPr>
        <w:t>e</w:t>
      </w:r>
      <w:r w:rsidRPr="001D1EB9">
        <w:rPr>
          <w:rFonts w:cs="Arial"/>
          <w:bCs/>
          <w:szCs w:val="20"/>
          <w:lang w:val="it-IT"/>
        </w:rPr>
        <w:t xml:space="preserve"> un ruolo sempre più importante in questo contesto. Mediante algoritmi </w:t>
      </w:r>
      <w:r w:rsidR="008C37B8">
        <w:rPr>
          <w:rFonts w:cs="Arial"/>
          <w:bCs/>
          <w:szCs w:val="20"/>
          <w:lang w:val="it-IT"/>
        </w:rPr>
        <w:t>di</w:t>
      </w:r>
      <w:r w:rsidRPr="001D1EB9">
        <w:rPr>
          <w:rFonts w:cs="Arial"/>
          <w:bCs/>
          <w:szCs w:val="20"/>
          <w:lang w:val="it-IT"/>
        </w:rPr>
        <w:t xml:space="preserve"> autoapprendimento è possibile modellare gli scenari del domani. "Sistemi di intralogistica interconnessi, in grado di apprendere e ottimizzarsi autonomamente, saranno di centrale importanza già nell'immediato futuro. I nostri clienti traggono enormi vantaggi da questi sistemi", evidenzia Johann Steinkellner,</w:t>
      </w:r>
      <w:r w:rsidR="0068008A">
        <w:rPr>
          <w:rFonts w:cs="Arial"/>
          <w:bCs/>
          <w:szCs w:val="20"/>
          <w:lang w:val="it-IT"/>
        </w:rPr>
        <w:t xml:space="preserve"> CEO Central Europe presso TGW.</w:t>
      </w:r>
    </w:p>
    <w:p w:rsidR="005D2283" w:rsidRPr="001D1EB9" w:rsidRDefault="005D2283" w:rsidP="003C0CE6">
      <w:pPr>
        <w:spacing w:line="360" w:lineRule="auto"/>
        <w:ind w:left="0" w:right="1693"/>
        <w:rPr>
          <w:lang w:val="it-IT"/>
        </w:rPr>
      </w:pPr>
    </w:p>
    <w:p w:rsidR="00264FCF" w:rsidRDefault="00BE0D00" w:rsidP="003C0CE6">
      <w:pPr>
        <w:spacing w:line="360" w:lineRule="auto"/>
        <w:ind w:left="0" w:right="1693"/>
        <w:rPr>
          <w:rStyle w:val="Collegamentoipertestuale"/>
          <w:lang w:val="en-US"/>
        </w:rPr>
      </w:pPr>
      <w:hyperlink r:id="rId11" w:history="1">
        <w:r w:rsidR="005718BF" w:rsidRPr="001D1EB9">
          <w:rPr>
            <w:rStyle w:val="Collegamentoipertestuale"/>
            <w:lang w:val="en-US"/>
          </w:rPr>
          <w:t>www.tgw-group.com</w:t>
        </w:r>
      </w:hyperlink>
    </w:p>
    <w:p w:rsidR="005D2283" w:rsidRDefault="005D2283" w:rsidP="003C0CE6">
      <w:pPr>
        <w:spacing w:line="360" w:lineRule="auto"/>
        <w:ind w:left="0" w:right="1693"/>
        <w:rPr>
          <w:lang w:val="en-US"/>
        </w:rPr>
      </w:pPr>
    </w:p>
    <w:p w:rsidR="00BC7952" w:rsidRPr="00542857" w:rsidRDefault="00BC7952" w:rsidP="00BC7952">
      <w:pPr>
        <w:spacing w:line="240" w:lineRule="auto"/>
        <w:ind w:left="0" w:right="1693"/>
        <w:rPr>
          <w:rStyle w:val="Collegamentoipertestuale"/>
          <w:b/>
          <w:color w:val="auto"/>
          <w:u w:val="none"/>
          <w:lang w:val="en-US"/>
        </w:rPr>
      </w:pPr>
      <w:r w:rsidRPr="001D1EB9">
        <w:rPr>
          <w:rStyle w:val="Collegamentoipertestuale"/>
          <w:b/>
          <w:color w:val="auto"/>
          <w:u w:val="none"/>
          <w:lang w:val="en-US"/>
        </w:rPr>
        <w:t>Informazioni sul TGW Logistics Group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 xml:space="preserve">TGW Logistics Group è un'azienda fornitrice di soluzioni per l'intralogistica di primaria importanza a livello internazionale. Da oltre 50 anni l'azienda </w:t>
      </w:r>
      <w:r w:rsidR="00323113">
        <w:rPr>
          <w:rStyle w:val="Collegamentoipertestuale"/>
          <w:color w:val="auto"/>
          <w:u w:val="none"/>
          <w:lang w:val="it-IT"/>
        </w:rPr>
        <w:t>A</w:t>
      </w:r>
      <w:r w:rsidRPr="001D1EB9">
        <w:rPr>
          <w:rStyle w:val="Collegamentoipertestuale"/>
          <w:color w:val="auto"/>
          <w:u w:val="none"/>
          <w:lang w:val="it-IT"/>
        </w:rPr>
        <w:t xml:space="preserve">ustriaca specializzata in impianti automatizzati realizza soluzioni per i propri clienti internazionali, dalla A come Adidas alla Z come Zalando. In qualità di </w:t>
      </w:r>
      <w:r w:rsidR="008C37B8">
        <w:rPr>
          <w:rStyle w:val="Collegamentoipertestuale"/>
          <w:color w:val="auto"/>
          <w:u w:val="none"/>
          <w:lang w:val="it-IT"/>
        </w:rPr>
        <w:t>System integrator</w:t>
      </w:r>
      <w:r w:rsidRPr="001D1EB9">
        <w:rPr>
          <w:rStyle w:val="Collegamentoipertestuale"/>
          <w:color w:val="auto"/>
          <w:u w:val="none"/>
          <w:lang w:val="it-IT"/>
        </w:rPr>
        <w:t>, TGW si occupa della progettazione, produzione e realizzazione di complessi centri di logistica, dalla meccatronica alla robotica fino al sistema di comando e al software.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Il gruppo TGW Logistics Group ha filiali in Europa, Cina e USA e può contare su oltre 4.000 collaboratori in tutto il mondo. Nell'esercizio fiscale 2020/2021 l'azienda ha ottenuto un fatturato complessivo di 813 milioni di euro.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b/>
          <w:color w:val="auto"/>
          <w:u w:val="none"/>
          <w:lang w:val="it-IT"/>
        </w:rPr>
      </w:pPr>
      <w:r w:rsidRPr="001D1EB9">
        <w:rPr>
          <w:rStyle w:val="Collegamentoipertestuale"/>
          <w:b/>
          <w:color w:val="auto"/>
          <w:u w:val="none"/>
          <w:lang w:val="it-IT"/>
        </w:rPr>
        <w:t>Fotografie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È permessa la pubblicazione gratuita fornendo l'indicazione della fonte e per i comunicati stampa che hanno come oggetto principalmen</w:t>
      </w:r>
      <w:r w:rsidR="0068008A">
        <w:rPr>
          <w:rStyle w:val="Collegamentoipertestuale"/>
          <w:color w:val="auto"/>
          <w:u w:val="none"/>
          <w:lang w:val="it-IT"/>
        </w:rPr>
        <w:t>te il TGW Logistics Group GmbH.</w:t>
      </w:r>
      <w:r w:rsidRPr="001D1EB9">
        <w:rPr>
          <w:rStyle w:val="Collegamentoipertestuale"/>
          <w:color w:val="auto"/>
          <w:u w:val="none"/>
          <w:lang w:val="it-IT"/>
        </w:rPr>
        <w:t xml:space="preserve"> La pubblicazione a scopi pubblicitari non è gratuita.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b/>
          <w:color w:val="auto"/>
          <w:u w:val="none"/>
          <w:lang w:val="it-IT"/>
        </w:rPr>
      </w:pPr>
      <w:r w:rsidRPr="001D1EB9">
        <w:rPr>
          <w:rStyle w:val="Collegamentoipertestuale"/>
          <w:b/>
          <w:color w:val="auto"/>
          <w:u w:val="none"/>
          <w:lang w:val="it-IT"/>
        </w:rPr>
        <w:t>Contatti: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TGW Logistics Group GmbH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A-4614 Marchtrenk, Ludwig Szinicz Straße 3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Tel: +43.(0)50.486-0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Fax: +43.(0)50.486-31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E-mail: tgw@tgw-group.com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F92A0D" w:rsidRPr="001D1EB9" w:rsidRDefault="00F92A0D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F92A0D" w:rsidRPr="004D665B" w:rsidRDefault="00F92A0D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Contatto stampa:</w:t>
      </w:r>
    </w:p>
    <w:p w:rsidR="00F92A0D" w:rsidRPr="004D665B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Alexander Tahedl</w:t>
      </w:r>
    </w:p>
    <w:p w:rsidR="00BC7952" w:rsidRPr="004D665B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Communications Specialist</w:t>
      </w:r>
    </w:p>
    <w:p w:rsidR="00BC7952" w:rsidRPr="004D665B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Tel: +43.(0)50.486-2267</w:t>
      </w:r>
    </w:p>
    <w:p w:rsidR="00BC7952" w:rsidRPr="004D665B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Cell.: +43.(0)664.88459713</w:t>
      </w:r>
    </w:p>
    <w:p w:rsidR="00BC7952" w:rsidRPr="004D665B" w:rsidRDefault="00BC7952" w:rsidP="00BC7952">
      <w:pPr>
        <w:spacing w:line="240" w:lineRule="auto"/>
        <w:ind w:left="0" w:right="1693"/>
        <w:rPr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alexander.tahedl@tgw-group.com</w:t>
      </w:r>
    </w:p>
    <w:p w:rsidR="00BC7952" w:rsidRPr="004D665B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</w:p>
    <w:p w:rsidR="00F92A0D" w:rsidRPr="004D665B" w:rsidRDefault="00F92A0D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</w:p>
    <w:p w:rsidR="00BC7952" w:rsidRPr="004D665B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Martin Kirchmayr</w:t>
      </w:r>
    </w:p>
    <w:p w:rsidR="00BC7952" w:rsidRPr="004D665B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en-GB"/>
        </w:rPr>
      </w:pPr>
      <w:r w:rsidRPr="004D665B">
        <w:rPr>
          <w:rStyle w:val="Collegamentoipertestuale"/>
          <w:color w:val="auto"/>
          <w:u w:val="none"/>
          <w:lang w:val="en-GB"/>
        </w:rPr>
        <w:t>Director Marketing &amp; Communications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Tel: +43.(0)50.486-1382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Cell.: +43.(0)664.8187423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  <w:r w:rsidRPr="001D1EB9">
        <w:rPr>
          <w:rStyle w:val="Collegamentoipertestuale"/>
          <w:color w:val="auto"/>
          <w:u w:val="none"/>
          <w:lang w:val="it-IT"/>
        </w:rPr>
        <w:t>martin.kirchmayr@tgw-group.com</w:t>
      </w:r>
    </w:p>
    <w:p w:rsidR="00BC7952" w:rsidRPr="001D1EB9" w:rsidRDefault="00BC7952" w:rsidP="00BC7952">
      <w:pPr>
        <w:spacing w:line="240" w:lineRule="auto"/>
        <w:ind w:left="0" w:right="1693"/>
        <w:rPr>
          <w:rStyle w:val="Collegamentoipertestuale"/>
          <w:color w:val="auto"/>
          <w:u w:val="none"/>
          <w:lang w:val="it-IT"/>
        </w:rPr>
      </w:pPr>
    </w:p>
    <w:p w:rsidR="00BC7952" w:rsidRPr="001D1EB9" w:rsidRDefault="00BC7952" w:rsidP="00BC7952">
      <w:pPr>
        <w:spacing w:line="240" w:lineRule="auto"/>
        <w:ind w:left="0" w:right="1693"/>
        <w:rPr>
          <w:lang w:val="it-IT"/>
        </w:rPr>
      </w:pPr>
    </w:p>
    <w:p w:rsidR="006231AE" w:rsidRPr="001D1EB9" w:rsidRDefault="006231AE" w:rsidP="006231AE">
      <w:pPr>
        <w:ind w:left="0" w:right="1693"/>
        <w:rPr>
          <w:lang w:val="it-IT"/>
        </w:rPr>
      </w:pPr>
    </w:p>
    <w:sectPr w:rsidR="006231AE" w:rsidRPr="001D1EB9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00" w:rsidRDefault="00BE0D00" w:rsidP="00764006">
      <w:pPr>
        <w:spacing w:line="240" w:lineRule="auto"/>
      </w:pPr>
      <w:r>
        <w:separator/>
      </w:r>
    </w:p>
  </w:endnote>
  <w:endnote w:type="continuationSeparator" w:id="0">
    <w:p w:rsidR="00BE0D00" w:rsidRDefault="00BE0D0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:rsidTr="00A345ED">
      <w:tc>
        <w:tcPr>
          <w:tcW w:w="6474" w:type="dxa"/>
        </w:tcPr>
        <w:p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B72812" w:rsidRPr="00C424EA" w:rsidRDefault="00B72812" w:rsidP="00C424EA">
          <w:pPr>
            <w:pStyle w:val="Pidipagina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B72812" w:rsidRPr="00C424EA" w:rsidRDefault="00B72812" w:rsidP="00C424EA">
          <w:pPr>
            <w:pStyle w:val="Pidipagina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BE0D00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BE0D00">
            <w:rPr>
              <w:noProof/>
              <w:sz w:val="16"/>
              <w:szCs w:val="16"/>
            </w:rPr>
            <w:t>1</w:t>
          </w:r>
          <w:r>
            <w:fldChar w:fldCharType="end"/>
          </w:r>
        </w:p>
      </w:tc>
    </w:tr>
  </w:tbl>
  <w:p w:rsidR="00B72812" w:rsidRPr="000B65C7" w:rsidRDefault="00B72812" w:rsidP="000B65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00" w:rsidRDefault="00BE0D00" w:rsidP="00764006">
      <w:pPr>
        <w:spacing w:line="240" w:lineRule="auto"/>
      </w:pPr>
      <w:r>
        <w:separator/>
      </w:r>
    </w:p>
  </w:footnote>
  <w:footnote w:type="continuationSeparator" w:id="0">
    <w:p w:rsidR="00BE0D00" w:rsidRDefault="00BE0D0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12" w:rsidRDefault="00B72812" w:rsidP="00C54F6A">
    <w:pPr>
      <w:pStyle w:val="Dokumententitel"/>
    </w:pPr>
  </w:p>
  <w:p w:rsidR="00B72812" w:rsidRPr="00C15D91" w:rsidRDefault="00B72812" w:rsidP="00C54F6A">
    <w:pPr>
      <w:pStyle w:val="Dokumententitel"/>
    </w:pPr>
    <w:r>
      <w:rPr>
        <w:lang w:val="it-IT" w:eastAsia="it-IT"/>
      </w:rPr>
      <w:drawing>
        <wp:anchor distT="0" distB="0" distL="114300" distR="114300" simplePos="0" relativeHeight="251659264" behindDoc="0" locked="0" layoutInCell="1" allowOverlap="1" wp14:anchorId="114A6267" wp14:editId="6DADB92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:rsidR="00B72812" w:rsidRPr="00C54F6A" w:rsidRDefault="00B72812" w:rsidP="00743B0E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3D69"/>
    <w:multiLevelType w:val="hybridMultilevel"/>
    <w:tmpl w:val="5A9EB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FDA09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5"/>
  </w:num>
  <w:num w:numId="7">
    <w:abstractNumId w:val="1"/>
  </w:num>
  <w:num w:numId="8">
    <w:abstractNumId w:val="17"/>
  </w:num>
  <w:num w:numId="9">
    <w:abstractNumId w:val="7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113B7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3F"/>
    <w:rsid w:val="001338DB"/>
    <w:rsid w:val="00134AF1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44EA"/>
    <w:rsid w:val="001754C6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7269"/>
    <w:rsid w:val="001A0128"/>
    <w:rsid w:val="001A2DCB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1EB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970"/>
    <w:rsid w:val="002D44D3"/>
    <w:rsid w:val="002D499C"/>
    <w:rsid w:val="002D6158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C9A"/>
    <w:rsid w:val="00317CAA"/>
    <w:rsid w:val="00320511"/>
    <w:rsid w:val="00321EEF"/>
    <w:rsid w:val="00322CCA"/>
    <w:rsid w:val="00323113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FCD"/>
    <w:rsid w:val="003D4464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3E54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F4A"/>
    <w:rsid w:val="004D6591"/>
    <w:rsid w:val="004D665B"/>
    <w:rsid w:val="004D7FC9"/>
    <w:rsid w:val="004E12DD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584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37FF"/>
    <w:rsid w:val="00643CDE"/>
    <w:rsid w:val="00644F94"/>
    <w:rsid w:val="006474AB"/>
    <w:rsid w:val="00647DAE"/>
    <w:rsid w:val="00650DF4"/>
    <w:rsid w:val="006527DF"/>
    <w:rsid w:val="00653F9B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08A"/>
    <w:rsid w:val="00680693"/>
    <w:rsid w:val="00680FBD"/>
    <w:rsid w:val="006821C8"/>
    <w:rsid w:val="00682655"/>
    <w:rsid w:val="00682A4A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39B3"/>
    <w:rsid w:val="007870FB"/>
    <w:rsid w:val="00787E86"/>
    <w:rsid w:val="007922BE"/>
    <w:rsid w:val="007927AE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5136"/>
    <w:rsid w:val="00805172"/>
    <w:rsid w:val="00805546"/>
    <w:rsid w:val="00806BE4"/>
    <w:rsid w:val="00806F99"/>
    <w:rsid w:val="00807724"/>
    <w:rsid w:val="00810B98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465D"/>
    <w:rsid w:val="008B6062"/>
    <w:rsid w:val="008B6858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37B8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75F8"/>
    <w:rsid w:val="009321FE"/>
    <w:rsid w:val="00934279"/>
    <w:rsid w:val="00942462"/>
    <w:rsid w:val="009428A3"/>
    <w:rsid w:val="00942EDF"/>
    <w:rsid w:val="009440B4"/>
    <w:rsid w:val="0094458E"/>
    <w:rsid w:val="00946640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201C8"/>
    <w:rsid w:val="00A22863"/>
    <w:rsid w:val="00A22B75"/>
    <w:rsid w:val="00A2351E"/>
    <w:rsid w:val="00A2371E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331"/>
    <w:rsid w:val="00AA3942"/>
    <w:rsid w:val="00AA442C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2387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B49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D00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F21"/>
    <w:rsid w:val="00C92AE1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5E75"/>
    <w:rsid w:val="00CA621B"/>
    <w:rsid w:val="00CA65AC"/>
    <w:rsid w:val="00CA726B"/>
    <w:rsid w:val="00CB17DD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321A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615F"/>
    <w:rsid w:val="00FB76E9"/>
    <w:rsid w:val="00FC12B9"/>
    <w:rsid w:val="00FC1FAB"/>
    <w:rsid w:val="00FC1FAC"/>
    <w:rsid w:val="00FC2065"/>
    <w:rsid w:val="00FC2498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3F25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006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006"/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Pidipagina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Collegamentoipertestuale">
    <w:name w:val="Hyperlink"/>
    <w:basedOn w:val="Carpredefinitoparagrafo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PidipaginaCarattere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Pidipagina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PidipaginaCarattere"/>
    <w:link w:val="FuzeileFirmendaten"/>
    <w:rsid w:val="00677B13"/>
    <w:rPr>
      <w:rFonts w:ascii="Arial" w:hAnsi="Arial"/>
      <w:sz w:val="1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e"/>
    <w:link w:val="TextohneEinzugZchn"/>
    <w:qFormat/>
    <w:rsid w:val="00015103"/>
    <w:pPr>
      <w:ind w:left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ottotitolo">
    <w:name w:val="Subtitle"/>
    <w:basedOn w:val="TextohneEinzug"/>
    <w:next w:val="Normale"/>
    <w:link w:val="SottotitoloCarattere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griglia5scura-colore3">
    <w:name w:val="Grid Table 5 Dark Accent 3"/>
    <w:basedOn w:val="Tabellanorma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olo">
    <w:name w:val="Title"/>
    <w:basedOn w:val="Normale"/>
    <w:next w:val="TextohneEinzug"/>
    <w:link w:val="TitoloCarattere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Paragrafoelenco">
    <w:name w:val="List Paragraph"/>
    <w:basedOn w:val="Normale"/>
    <w:link w:val="ParagrafoelencoCarattere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Paragrafoelenco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ParagrafoelencoCarattere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A510C0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Carpredefinitoparagrafo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Riferimentodelicato">
    <w:name w:val="Subtle Reference"/>
    <w:basedOn w:val="Carpredefinitoparagrafo"/>
    <w:uiPriority w:val="31"/>
    <w:rsid w:val="00E66E08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E66E08"/>
    <w:rPr>
      <w:b/>
      <w:bCs/>
      <w:smallCaps/>
      <w:color w:val="C00418" w:themeColor="accent1"/>
      <w:spacing w:val="5"/>
    </w:rPr>
  </w:style>
  <w:style w:type="character" w:styleId="Titolodellibro">
    <w:name w:val="Book Title"/>
    <w:basedOn w:val="Carpredefinitoparagrafo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Intestazione"/>
    <w:link w:val="BeschriftungenZchn"/>
    <w:qFormat/>
    <w:rsid w:val="00E66E08"/>
    <w:rPr>
      <w:sz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IntestazioneCarattere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Intestazion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IntestazioneCarattere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0820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2003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2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BE71EE"/>
    <w:pPr>
      <w:numPr>
        <w:numId w:val="17"/>
      </w:numPr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DE58-811E-4847-BEE9-A1BADC88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34D34-9DE8-4586-9665-16354D4D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LogiMAT 2022: TGW presenta nuovi servizi digitali</vt:lpstr>
      <vt:lpstr>LogiMAT 2022: TGW präsentiert neue digitale Services</vt:lpstr>
    </vt:vector>
  </TitlesOfParts>
  <Company>Klug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LogiMAT 2022: TGW presenta nuovi servizi digitali</dc:title>
  <dc:subject/>
  <dc:creator>Tahedl Alexander</dc:creator>
  <cp:keywords>LogiMAT 2022: TGW presenta nuovi servizi digitali</cp:keywords>
  <dc:description/>
  <cp:lastModifiedBy>Tahedl Alexander</cp:lastModifiedBy>
  <cp:revision>130</cp:revision>
  <cp:lastPrinted>2022-02-02T15:07:00Z</cp:lastPrinted>
  <dcterms:created xsi:type="dcterms:W3CDTF">2021-08-17T12:30:00Z</dcterms:created>
  <dcterms:modified xsi:type="dcterms:W3CDTF">2022-02-17T07:55:00Z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