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35AD" w14:textId="3CCE7C74" w:rsidR="002327A2" w:rsidRPr="009D735E" w:rsidRDefault="002327A2" w:rsidP="00B34DB2">
      <w:pPr>
        <w:spacing w:line="360" w:lineRule="auto"/>
        <w:ind w:left="0" w:right="1693"/>
        <w:rPr>
          <w:rFonts w:cs="Arial"/>
          <w:b/>
          <w:sz w:val="28"/>
          <w:szCs w:val="28"/>
          <w:lang w:val="fr-FR"/>
        </w:rPr>
      </w:pPr>
    </w:p>
    <w:p w14:paraId="7E2EE4D7" w14:textId="50DEF495" w:rsidR="0073741E" w:rsidRPr="009D735E" w:rsidRDefault="0073167A" w:rsidP="00FD17B6">
      <w:pPr>
        <w:spacing w:line="360" w:lineRule="auto"/>
        <w:ind w:left="0" w:right="1693"/>
        <w:jc w:val="left"/>
        <w:rPr>
          <w:rFonts w:cs="Arial"/>
          <w:b/>
          <w:sz w:val="28"/>
          <w:szCs w:val="28"/>
          <w:lang w:val="fr-FR"/>
        </w:rPr>
      </w:pPr>
      <w:r w:rsidRPr="009D735E">
        <w:rPr>
          <w:rFonts w:cs="Arial"/>
          <w:b/>
          <w:sz w:val="28"/>
          <w:szCs w:val="28"/>
          <w:lang w:val="fr-FR"/>
        </w:rPr>
        <w:t>L'analyse de données intelligente : nouvelle application web TGW facilite l'optimisation</w:t>
      </w:r>
    </w:p>
    <w:p w14:paraId="680E18BE" w14:textId="77777777" w:rsidR="00315732" w:rsidRPr="009D735E" w:rsidRDefault="00315732" w:rsidP="00B34DB2">
      <w:pPr>
        <w:spacing w:line="360" w:lineRule="auto"/>
        <w:ind w:left="0" w:right="1693"/>
        <w:rPr>
          <w:rFonts w:cs="Arial"/>
          <w:b/>
          <w:sz w:val="18"/>
          <w:szCs w:val="18"/>
          <w:lang w:val="fr-FR"/>
        </w:rPr>
      </w:pPr>
    </w:p>
    <w:p w14:paraId="7FD82EF9" w14:textId="62C3C8AE" w:rsidR="00222AA7" w:rsidRPr="009D735E" w:rsidRDefault="006D27DD" w:rsidP="00C42B3C">
      <w:pPr>
        <w:pStyle w:val="Listenabsatz"/>
        <w:numPr>
          <w:ilvl w:val="0"/>
          <w:numId w:val="21"/>
        </w:numPr>
        <w:spacing w:line="360" w:lineRule="auto"/>
        <w:ind w:right="1693"/>
        <w:jc w:val="left"/>
        <w:rPr>
          <w:rFonts w:cs="Arial"/>
          <w:b/>
          <w:sz w:val="24"/>
          <w:szCs w:val="24"/>
          <w:lang w:val="fr-FR"/>
        </w:rPr>
      </w:pPr>
      <w:r w:rsidRPr="009D735E">
        <w:rPr>
          <w:rFonts w:cs="Arial"/>
          <w:b/>
          <w:sz w:val="24"/>
          <w:szCs w:val="24"/>
          <w:lang w:val="fr-FR"/>
        </w:rPr>
        <w:t>Le « Data Analysis and Reporting Dashboard » offre une vue d'ensemble simple du système complet</w:t>
      </w:r>
    </w:p>
    <w:p w14:paraId="238F13A0" w14:textId="3DD07568" w:rsidR="00060901" w:rsidRPr="009D735E" w:rsidRDefault="00F4623F" w:rsidP="00C42B3C">
      <w:pPr>
        <w:pStyle w:val="Listenabsatz"/>
        <w:numPr>
          <w:ilvl w:val="0"/>
          <w:numId w:val="21"/>
        </w:numPr>
        <w:spacing w:line="360" w:lineRule="auto"/>
        <w:ind w:right="1693"/>
        <w:jc w:val="left"/>
        <w:rPr>
          <w:rFonts w:cs="Arial"/>
          <w:b/>
          <w:sz w:val="24"/>
          <w:szCs w:val="24"/>
          <w:lang w:val="fr-FR"/>
        </w:rPr>
      </w:pPr>
      <w:r w:rsidRPr="009D735E">
        <w:rPr>
          <w:rFonts w:cs="Arial"/>
          <w:b/>
          <w:sz w:val="24"/>
          <w:szCs w:val="24"/>
          <w:lang w:val="fr-FR"/>
        </w:rPr>
        <w:t>L'application web Lifetime Services peut être implémentée rapidement et est utilisée aussi pour les projets rétrofit</w:t>
      </w:r>
    </w:p>
    <w:p w14:paraId="30B2C4EB" w14:textId="64BEE9D2" w:rsidR="00AE2646" w:rsidRPr="009D735E" w:rsidRDefault="00F86EE6" w:rsidP="00C42B3C">
      <w:pPr>
        <w:pStyle w:val="Listenabsatz"/>
        <w:numPr>
          <w:ilvl w:val="0"/>
          <w:numId w:val="21"/>
        </w:numPr>
        <w:spacing w:line="360" w:lineRule="auto"/>
        <w:ind w:right="1693"/>
        <w:jc w:val="left"/>
        <w:rPr>
          <w:rFonts w:cs="Arial"/>
          <w:b/>
          <w:sz w:val="24"/>
          <w:szCs w:val="24"/>
          <w:lang w:val="fr-FR"/>
        </w:rPr>
      </w:pPr>
      <w:r w:rsidRPr="009D735E">
        <w:rPr>
          <w:rFonts w:cs="Arial"/>
          <w:b/>
          <w:sz w:val="24"/>
          <w:szCs w:val="24"/>
          <w:lang w:val="fr-FR"/>
        </w:rPr>
        <w:t>L'outil est basé sur la longue expérience TGW</w:t>
      </w:r>
    </w:p>
    <w:p w14:paraId="23B81BA7" w14:textId="77777777" w:rsidR="00E26207" w:rsidRPr="009D735E" w:rsidRDefault="00E26207" w:rsidP="00B34DB2">
      <w:pPr>
        <w:spacing w:line="360" w:lineRule="auto"/>
        <w:ind w:left="0" w:right="1693"/>
        <w:rPr>
          <w:rFonts w:cs="Arial"/>
          <w:b/>
          <w:szCs w:val="20"/>
          <w:lang w:val="fr-FR"/>
        </w:rPr>
      </w:pPr>
    </w:p>
    <w:p w14:paraId="15D187A4" w14:textId="235C2146" w:rsidR="00487C26" w:rsidRPr="009D735E" w:rsidRDefault="00EF32D1" w:rsidP="008B7BC1">
      <w:pPr>
        <w:spacing w:line="360" w:lineRule="auto"/>
        <w:ind w:left="0" w:right="1693"/>
        <w:rPr>
          <w:rFonts w:cs="Arial"/>
          <w:b/>
          <w:szCs w:val="20"/>
          <w:lang w:val="fr-FR"/>
        </w:rPr>
      </w:pPr>
      <w:r w:rsidRPr="009D735E">
        <w:rPr>
          <w:rFonts w:cs="Arial"/>
          <w:b/>
          <w:szCs w:val="20"/>
          <w:lang w:val="fr-FR"/>
        </w:rPr>
        <w:t xml:space="preserve">(Marchtrenk, le </w:t>
      </w:r>
      <w:r w:rsidR="00F82684">
        <w:rPr>
          <w:rFonts w:cs="Arial"/>
          <w:b/>
          <w:szCs w:val="20"/>
          <w:lang w:val="fr-FR"/>
        </w:rPr>
        <w:t>17</w:t>
      </w:r>
      <w:bookmarkStart w:id="0" w:name="_GoBack"/>
      <w:bookmarkEnd w:id="0"/>
      <w:r w:rsidRPr="009D735E">
        <w:rPr>
          <w:rFonts w:cs="Arial"/>
          <w:b/>
          <w:szCs w:val="20"/>
          <w:lang w:val="fr-FR"/>
        </w:rPr>
        <w:t xml:space="preserve"> avril 2023) Le TGW Logistics Group offre aux nouveaux clients et aux clients existants un outil de visualisation innovant avec lequel ils peuvent encore optimiser la performance des systèmes intralogistiques. Le tableau de bord peut être implémenté en quelques jours et aide les utilisateurs à comprendre rapidement les données et à apporter des améliorations.</w:t>
      </w:r>
    </w:p>
    <w:p w14:paraId="30184882" w14:textId="77777777" w:rsidR="005939BF" w:rsidRPr="009D735E" w:rsidRDefault="005939BF" w:rsidP="00E21B14">
      <w:pPr>
        <w:spacing w:line="360" w:lineRule="auto"/>
        <w:ind w:left="0" w:right="1693"/>
        <w:rPr>
          <w:rFonts w:cs="Arial"/>
          <w:b/>
          <w:szCs w:val="20"/>
          <w:lang w:val="fr-FR"/>
        </w:rPr>
      </w:pPr>
    </w:p>
    <w:p w14:paraId="2CE5382B" w14:textId="64F1ACCB" w:rsidR="00577081" w:rsidRPr="009D735E" w:rsidRDefault="001B4CD8" w:rsidP="00CC1EEE">
      <w:pPr>
        <w:spacing w:line="360" w:lineRule="auto"/>
        <w:ind w:left="0" w:right="1693"/>
        <w:rPr>
          <w:rFonts w:cs="Arial"/>
          <w:bCs/>
          <w:szCs w:val="20"/>
          <w:lang w:val="fr-FR"/>
        </w:rPr>
      </w:pPr>
      <w:r w:rsidRPr="009D735E">
        <w:rPr>
          <w:rFonts w:cs="Arial"/>
          <w:bCs/>
          <w:szCs w:val="20"/>
          <w:lang w:val="fr-FR"/>
        </w:rPr>
        <w:t>Le Data Analysis and Reporting Dashboard montre la performance globale du système en une fraction de seconde. Avec l'application, on peut relier des données provenant de nombreuses sources et les présenter sous forme graphique : du contrôle de réception des marchandises aux trieurs et scanneurs, en passant par l'aire de stockage.</w:t>
      </w:r>
    </w:p>
    <w:p w14:paraId="41BEB3EA" w14:textId="270BCB0F" w:rsidR="00577081" w:rsidRPr="009D735E" w:rsidRDefault="00577081" w:rsidP="00CC1EEE">
      <w:pPr>
        <w:spacing w:line="360" w:lineRule="auto"/>
        <w:ind w:left="0" w:right="1693"/>
        <w:rPr>
          <w:rFonts w:cs="Arial"/>
          <w:bCs/>
          <w:szCs w:val="20"/>
          <w:lang w:val="fr-FR"/>
        </w:rPr>
      </w:pPr>
    </w:p>
    <w:p w14:paraId="0A79C9D5" w14:textId="30891416" w:rsidR="00577081" w:rsidRPr="009D735E" w:rsidRDefault="00AA39CB" w:rsidP="00CC1EEE">
      <w:pPr>
        <w:spacing w:line="360" w:lineRule="auto"/>
        <w:ind w:left="0" w:right="1693"/>
        <w:rPr>
          <w:rFonts w:cs="Arial"/>
          <w:b/>
          <w:bCs/>
          <w:szCs w:val="20"/>
          <w:lang w:val="fr-FR"/>
        </w:rPr>
      </w:pPr>
      <w:r w:rsidRPr="009D735E">
        <w:rPr>
          <w:rFonts w:cs="Arial"/>
          <w:b/>
          <w:bCs/>
          <w:szCs w:val="20"/>
          <w:lang w:val="fr-FR"/>
        </w:rPr>
        <w:t>Augmenter la performance du système global</w:t>
      </w:r>
    </w:p>
    <w:p w14:paraId="0EF89759" w14:textId="77777777" w:rsidR="00577081" w:rsidRPr="009D735E" w:rsidRDefault="001B4CD8" w:rsidP="00CC1EEE">
      <w:pPr>
        <w:spacing w:line="360" w:lineRule="auto"/>
        <w:ind w:left="0" w:right="1693"/>
        <w:rPr>
          <w:rFonts w:cs="Arial"/>
          <w:bCs/>
          <w:szCs w:val="20"/>
          <w:lang w:val="fr-FR"/>
        </w:rPr>
      </w:pPr>
      <w:r w:rsidRPr="009D735E">
        <w:rPr>
          <w:rFonts w:cs="Arial"/>
          <w:bCs/>
          <w:szCs w:val="20"/>
          <w:lang w:val="fr-FR"/>
        </w:rPr>
        <w:t xml:space="preserve"> </w:t>
      </w:r>
    </w:p>
    <w:p w14:paraId="2034AAA1" w14:textId="5A054AF7" w:rsidR="00E4000C" w:rsidRPr="009D735E" w:rsidRDefault="00E70FCC" w:rsidP="00CC1EEE">
      <w:pPr>
        <w:spacing w:line="360" w:lineRule="auto"/>
        <w:ind w:left="0" w:right="1693"/>
        <w:rPr>
          <w:rFonts w:cs="Arial"/>
          <w:bCs/>
          <w:szCs w:val="20"/>
          <w:lang w:val="fr-FR"/>
        </w:rPr>
      </w:pPr>
      <w:r w:rsidRPr="009D735E">
        <w:rPr>
          <w:rFonts w:cs="Arial"/>
          <w:bCs/>
          <w:szCs w:val="20"/>
          <w:lang w:val="fr-FR"/>
        </w:rPr>
        <w:t>Ainsi, on peut identifier et corriger des erreurs sur la base de données pour augmenter la performance du système global. TGW offre de différents étendues de l'innovation. Normalement, les spécialistes de l'intégrateur de systèmes peuvent lancer le tableau de bord en quelques jours pour les nouveaux projets. Pour les systèmes existants, la mise en service prend un peu plus de temps, en fonction de l'âge du logiciel et du matériel. En outre, on peut aussi utiliser le tableau de bord pour des centres logistiques qui n'ont pas été réalisés par TGW.</w:t>
      </w:r>
    </w:p>
    <w:p w14:paraId="124F3C00" w14:textId="77777777" w:rsidR="00E4000C" w:rsidRPr="009D735E" w:rsidRDefault="00E4000C" w:rsidP="00CC1EEE">
      <w:pPr>
        <w:spacing w:line="360" w:lineRule="auto"/>
        <w:ind w:left="0" w:right="1693"/>
        <w:rPr>
          <w:rFonts w:cs="Arial"/>
          <w:bCs/>
          <w:szCs w:val="20"/>
          <w:lang w:val="fr-FR"/>
        </w:rPr>
      </w:pPr>
    </w:p>
    <w:p w14:paraId="06BA7A60" w14:textId="3C553558" w:rsidR="00465AAB" w:rsidRPr="009D735E" w:rsidRDefault="00B44EF8" w:rsidP="00CC1EEE">
      <w:pPr>
        <w:spacing w:line="360" w:lineRule="auto"/>
        <w:ind w:left="0" w:right="1693"/>
        <w:rPr>
          <w:rFonts w:cs="Arial"/>
          <w:bCs/>
          <w:szCs w:val="20"/>
          <w:lang w:val="fr-FR"/>
        </w:rPr>
      </w:pPr>
      <w:r w:rsidRPr="009D735E">
        <w:rPr>
          <w:rFonts w:cs="Arial"/>
          <w:bCs/>
          <w:szCs w:val="20"/>
          <w:lang w:val="fr-FR"/>
        </w:rPr>
        <w:t>Les clients bénéficient de nombreux avantages : Ils ne doivent pas consacrer leurs ressources au développement et à l'exploitation d'un outil et peuvent faire confiance à la longue expérience des experts TGW. TGW a utilisé le tableau de bord pendant trois ans en interne avant de le mettre à disposition des clients. Si vous avez des questions, vous pouvez contacter la téléassistance Expert, 24 heures sur 24, 365 jours par an.</w:t>
      </w:r>
    </w:p>
    <w:p w14:paraId="2BEC4078" w14:textId="77777777" w:rsidR="009D735E" w:rsidRPr="009D735E" w:rsidRDefault="009D735E" w:rsidP="00CC1EEE">
      <w:pPr>
        <w:spacing w:line="360" w:lineRule="auto"/>
        <w:ind w:left="0" w:right="1693"/>
        <w:rPr>
          <w:rFonts w:cs="Arial"/>
          <w:bCs/>
          <w:szCs w:val="20"/>
          <w:lang w:val="fr-FR"/>
        </w:rPr>
      </w:pPr>
    </w:p>
    <w:p w14:paraId="02AA8536" w14:textId="4ADACA24" w:rsidR="00465AAB" w:rsidRPr="009D735E" w:rsidRDefault="00314569" w:rsidP="00CC1EEE">
      <w:pPr>
        <w:spacing w:line="360" w:lineRule="auto"/>
        <w:ind w:left="0" w:right="1693"/>
        <w:rPr>
          <w:rFonts w:cs="Arial"/>
          <w:b/>
          <w:bCs/>
          <w:szCs w:val="20"/>
          <w:lang w:val="fr-FR"/>
        </w:rPr>
      </w:pPr>
      <w:r w:rsidRPr="009D735E">
        <w:rPr>
          <w:rFonts w:cs="Arial"/>
          <w:b/>
          <w:bCs/>
          <w:szCs w:val="20"/>
          <w:lang w:val="fr-FR"/>
        </w:rPr>
        <w:lastRenderedPageBreak/>
        <w:t>Les données sont la clé</w:t>
      </w:r>
    </w:p>
    <w:p w14:paraId="5EA1D1B6" w14:textId="77777777" w:rsidR="00E4000C" w:rsidRPr="009D735E" w:rsidRDefault="00E4000C" w:rsidP="00CC1EEE">
      <w:pPr>
        <w:spacing w:line="360" w:lineRule="auto"/>
        <w:ind w:left="0" w:right="1693"/>
        <w:rPr>
          <w:rFonts w:cs="Arial"/>
          <w:bCs/>
          <w:szCs w:val="20"/>
          <w:lang w:val="fr-FR"/>
        </w:rPr>
      </w:pPr>
    </w:p>
    <w:p w14:paraId="1EC6E079" w14:textId="317DC30E" w:rsidR="004551DA" w:rsidRPr="009D735E" w:rsidRDefault="004551DA" w:rsidP="00CC1EEE">
      <w:pPr>
        <w:spacing w:line="360" w:lineRule="auto"/>
        <w:ind w:left="0" w:right="1693"/>
        <w:rPr>
          <w:rFonts w:cs="Arial"/>
          <w:bCs/>
          <w:szCs w:val="20"/>
          <w:lang w:val="fr-FR"/>
        </w:rPr>
      </w:pPr>
      <w:r w:rsidRPr="009D735E">
        <w:rPr>
          <w:rFonts w:cs="Arial"/>
          <w:bCs/>
          <w:szCs w:val="20"/>
          <w:lang w:val="fr-FR"/>
        </w:rPr>
        <w:t xml:space="preserve">« Si les collaborateurs pensent qu'ils peuvent optimiser les systèmes sur la base de leur intuition, ils se trompent souvent. Seules les données permettent d'avoir une vue d'ensemble efficace des systèmes intralogistiques hautement automatisés et complexes. Avec notre Data Analysis and Reporting Dashboard, nous accédons à des données provenant de différents systèmes. Grâce </w:t>
      </w:r>
      <w:r w:rsidR="009D735E" w:rsidRPr="009D735E">
        <w:rPr>
          <w:rFonts w:cs="Arial"/>
          <w:bCs/>
          <w:szCs w:val="20"/>
          <w:lang w:val="fr-FR"/>
        </w:rPr>
        <w:t>à la visualisation conviviale</w:t>
      </w:r>
      <w:r w:rsidRPr="009D735E">
        <w:rPr>
          <w:rFonts w:cs="Arial"/>
          <w:bCs/>
          <w:szCs w:val="20"/>
          <w:lang w:val="fr-FR"/>
        </w:rPr>
        <w:t xml:space="preserve"> et une formation détaillée, les utilisateurs peuvent agir sur différents leviers », souligne Georg Katzlinger-Söllradl, Director Global Lifetime Services chez TGW.</w:t>
      </w:r>
    </w:p>
    <w:p w14:paraId="0610E2B2" w14:textId="50D57558" w:rsidR="00E4000C" w:rsidRPr="009D735E" w:rsidRDefault="00E4000C" w:rsidP="00CC1EEE">
      <w:pPr>
        <w:spacing w:line="360" w:lineRule="auto"/>
        <w:ind w:left="0" w:right="1693"/>
        <w:rPr>
          <w:rFonts w:cs="Arial"/>
          <w:bCs/>
          <w:szCs w:val="20"/>
          <w:lang w:val="fr-FR"/>
        </w:rPr>
      </w:pPr>
    </w:p>
    <w:p w14:paraId="28039107" w14:textId="2129F6E3" w:rsidR="00E4000C" w:rsidRPr="009D735E" w:rsidRDefault="00E4000C" w:rsidP="00CC1EEE">
      <w:pPr>
        <w:spacing w:line="360" w:lineRule="auto"/>
        <w:ind w:left="0" w:right="1693"/>
        <w:rPr>
          <w:rFonts w:cs="Arial"/>
          <w:bCs/>
          <w:szCs w:val="20"/>
          <w:lang w:val="fr-FR"/>
        </w:rPr>
      </w:pPr>
      <w:r w:rsidRPr="009D735E">
        <w:rPr>
          <w:rFonts w:cs="Arial"/>
          <w:bCs/>
          <w:szCs w:val="20"/>
          <w:lang w:val="fr-FR"/>
        </w:rPr>
        <w:t>Le tableau de bord est conçu afin de représenter le flux de marchandises complet :</w:t>
      </w:r>
    </w:p>
    <w:p w14:paraId="1DB1AB9A" w14:textId="77777777" w:rsidR="00FD17B6" w:rsidRPr="009D735E" w:rsidRDefault="00FD17B6" w:rsidP="00CC1EEE">
      <w:pPr>
        <w:spacing w:line="360" w:lineRule="auto"/>
        <w:ind w:left="0" w:right="1693"/>
        <w:rPr>
          <w:rFonts w:cs="Arial"/>
          <w:bCs/>
          <w:szCs w:val="20"/>
          <w:lang w:val="fr-FR"/>
        </w:rPr>
      </w:pPr>
    </w:p>
    <w:p w14:paraId="7E9AE476" w14:textId="18502F89" w:rsidR="00A25ED1" w:rsidRPr="009D735E" w:rsidRDefault="009319E6" w:rsidP="00A0773C">
      <w:pPr>
        <w:pStyle w:val="Listenabsatz"/>
        <w:numPr>
          <w:ilvl w:val="0"/>
          <w:numId w:val="24"/>
        </w:numPr>
        <w:spacing w:line="360" w:lineRule="auto"/>
        <w:ind w:right="1693"/>
        <w:jc w:val="left"/>
        <w:rPr>
          <w:rFonts w:cs="Arial"/>
          <w:bCs/>
          <w:szCs w:val="20"/>
          <w:lang w:val="fr-FR"/>
        </w:rPr>
      </w:pPr>
      <w:r w:rsidRPr="009319E6">
        <w:rPr>
          <w:rFonts w:cs="Arial"/>
          <w:b/>
          <w:szCs w:val="20"/>
          <w:lang w:val="fr-FR"/>
        </w:rPr>
        <w:t>Decanting/Receiving :</w:t>
      </w:r>
      <w:r w:rsidRPr="009319E6">
        <w:rPr>
          <w:rFonts w:cs="Arial"/>
          <w:bCs/>
          <w:szCs w:val="20"/>
          <w:lang w:val="fr-FR"/>
        </w:rPr>
        <w:t xml:space="preserve"> </w:t>
      </w:r>
      <w:r w:rsidR="00A25ED1" w:rsidRPr="009D735E">
        <w:rPr>
          <w:rFonts w:cs="Arial"/>
          <w:bCs/>
          <w:szCs w:val="20"/>
          <w:lang w:val="fr-FR"/>
        </w:rPr>
        <w:t>Le tableau de bord visualise les données de la réception des marchandises (des palettes et des cartons d'outre-mer) et le reconditionnement dans des bacs et sur des plateaux.</w:t>
      </w:r>
    </w:p>
    <w:p w14:paraId="173B87DE" w14:textId="6E411C65" w:rsidR="00A25ED1" w:rsidRPr="009D735E" w:rsidRDefault="009319E6" w:rsidP="00A0773C">
      <w:pPr>
        <w:pStyle w:val="Listenabsatz"/>
        <w:numPr>
          <w:ilvl w:val="0"/>
          <w:numId w:val="24"/>
        </w:numPr>
        <w:spacing w:line="360" w:lineRule="auto"/>
        <w:ind w:right="1693"/>
        <w:jc w:val="left"/>
        <w:rPr>
          <w:rFonts w:cs="Arial"/>
          <w:bCs/>
          <w:szCs w:val="20"/>
          <w:lang w:val="fr-FR"/>
        </w:rPr>
      </w:pPr>
      <w:r w:rsidRPr="009319E6">
        <w:rPr>
          <w:rFonts w:cs="Arial"/>
          <w:b/>
          <w:szCs w:val="20"/>
          <w:lang w:val="fr-FR"/>
        </w:rPr>
        <w:t>SRMs/Shuttles</w:t>
      </w:r>
      <w:r>
        <w:rPr>
          <w:rFonts w:cs="Arial"/>
          <w:b/>
          <w:szCs w:val="20"/>
          <w:lang w:val="fr-FR"/>
        </w:rPr>
        <w:t> </w:t>
      </w:r>
      <w:r w:rsidR="004A2AC3" w:rsidRPr="009D735E">
        <w:rPr>
          <w:rFonts w:cs="Arial"/>
          <w:b/>
          <w:szCs w:val="20"/>
          <w:lang w:val="fr-FR"/>
        </w:rPr>
        <w:t>:</w:t>
      </w:r>
      <w:r w:rsidR="004A2AC3" w:rsidRPr="009D735E">
        <w:rPr>
          <w:rFonts w:cs="Arial"/>
          <w:bCs/>
          <w:szCs w:val="20"/>
          <w:lang w:val="fr-FR"/>
        </w:rPr>
        <w:t xml:space="preserve"> La capacité de stockage et de déstockage et les potentiels libres des transstockeurs, </w:t>
      </w:r>
      <w:r w:rsidR="009D735E">
        <w:rPr>
          <w:rFonts w:cs="Arial"/>
          <w:bCs/>
          <w:szCs w:val="20"/>
          <w:lang w:val="fr-FR"/>
        </w:rPr>
        <w:t>navettes</w:t>
      </w:r>
      <w:r w:rsidR="004A2AC3" w:rsidRPr="009D735E">
        <w:rPr>
          <w:rFonts w:cs="Arial"/>
          <w:bCs/>
          <w:szCs w:val="20"/>
          <w:lang w:val="fr-FR"/>
        </w:rPr>
        <w:t>, etc. sont représentés graphiquement</w:t>
      </w:r>
      <w:r w:rsidR="009D735E">
        <w:rPr>
          <w:rFonts w:cs="Arial"/>
          <w:bCs/>
          <w:szCs w:val="20"/>
          <w:lang w:val="fr-FR"/>
        </w:rPr>
        <w:t>.</w:t>
      </w:r>
    </w:p>
    <w:p w14:paraId="395E18E1" w14:textId="7BCEF678" w:rsidR="00A25ED1" w:rsidRPr="009D735E" w:rsidRDefault="009319E6" w:rsidP="00A0773C">
      <w:pPr>
        <w:pStyle w:val="Listenabsatz"/>
        <w:numPr>
          <w:ilvl w:val="0"/>
          <w:numId w:val="24"/>
        </w:numPr>
        <w:spacing w:line="360" w:lineRule="auto"/>
        <w:ind w:right="1693"/>
        <w:jc w:val="left"/>
        <w:rPr>
          <w:rFonts w:cs="Arial"/>
          <w:bCs/>
          <w:szCs w:val="20"/>
          <w:lang w:val="fr-FR"/>
        </w:rPr>
      </w:pPr>
      <w:r w:rsidRPr="009319E6">
        <w:rPr>
          <w:rFonts w:cs="Arial"/>
          <w:b/>
          <w:szCs w:val="20"/>
          <w:lang w:val="fr-FR"/>
        </w:rPr>
        <w:t>Workstations </w:t>
      </w:r>
      <w:r w:rsidR="00B26153" w:rsidRPr="009D735E">
        <w:rPr>
          <w:rFonts w:cs="Arial"/>
          <w:b/>
          <w:szCs w:val="20"/>
          <w:lang w:val="fr-FR"/>
        </w:rPr>
        <w:t>:</w:t>
      </w:r>
      <w:r w:rsidR="00B26153" w:rsidRPr="009D735E">
        <w:rPr>
          <w:rFonts w:cs="Arial"/>
          <w:bCs/>
          <w:szCs w:val="20"/>
          <w:lang w:val="fr-FR"/>
        </w:rPr>
        <w:t xml:space="preserve"> Le tableau de bord visualise non seulement les zones de travail actives, mais aussi les taux de préparation de commandes. Ainsi, on peut réagir immédiatement aux structures de commandes défavorables et aux emballages problématiques et les corriger.</w:t>
      </w:r>
    </w:p>
    <w:p w14:paraId="69ED51D1" w14:textId="3216ADEB" w:rsidR="00A25ED1" w:rsidRPr="009D735E" w:rsidRDefault="009319E6" w:rsidP="00A0773C">
      <w:pPr>
        <w:pStyle w:val="Listenabsatz"/>
        <w:numPr>
          <w:ilvl w:val="0"/>
          <w:numId w:val="24"/>
        </w:numPr>
        <w:spacing w:line="360" w:lineRule="auto"/>
        <w:ind w:right="1693"/>
        <w:jc w:val="left"/>
        <w:rPr>
          <w:rFonts w:cs="Arial"/>
          <w:bCs/>
          <w:szCs w:val="20"/>
          <w:lang w:val="fr-FR"/>
        </w:rPr>
      </w:pPr>
      <w:r w:rsidRPr="009319E6">
        <w:rPr>
          <w:rFonts w:cs="Arial"/>
          <w:b/>
          <w:szCs w:val="20"/>
          <w:lang w:val="fr-FR"/>
        </w:rPr>
        <w:t>Value-Added Services (VAS) :</w:t>
      </w:r>
      <w:r w:rsidRPr="009319E6">
        <w:rPr>
          <w:rFonts w:cs="Arial"/>
          <w:bCs/>
          <w:szCs w:val="20"/>
          <w:lang w:val="fr-FR"/>
        </w:rPr>
        <w:t xml:space="preserve"> </w:t>
      </w:r>
      <w:r w:rsidR="00A0773C" w:rsidRPr="009D735E">
        <w:rPr>
          <w:rFonts w:cs="Arial"/>
          <w:bCs/>
          <w:szCs w:val="20"/>
          <w:lang w:val="fr-FR"/>
        </w:rPr>
        <w:t>Le tableau de bord montre la performance relative aux services à valeur ajoutée.</w:t>
      </w:r>
    </w:p>
    <w:p w14:paraId="4911C1CB" w14:textId="0BA8A96C" w:rsidR="00A25ED1" w:rsidRPr="009D735E" w:rsidRDefault="009319E6" w:rsidP="00A0773C">
      <w:pPr>
        <w:pStyle w:val="Listenabsatz"/>
        <w:numPr>
          <w:ilvl w:val="0"/>
          <w:numId w:val="24"/>
        </w:numPr>
        <w:spacing w:line="360" w:lineRule="auto"/>
        <w:ind w:right="1693"/>
        <w:jc w:val="left"/>
        <w:rPr>
          <w:rFonts w:cs="Arial"/>
          <w:szCs w:val="20"/>
          <w:lang w:val="fr-FR"/>
        </w:rPr>
      </w:pPr>
      <w:r w:rsidRPr="009319E6">
        <w:rPr>
          <w:rFonts w:cs="Arial"/>
          <w:b/>
          <w:szCs w:val="20"/>
          <w:lang w:val="fr-FR"/>
        </w:rPr>
        <w:t>Labeller/Sorter/Scanner </w:t>
      </w:r>
      <w:r w:rsidR="00A25ED1" w:rsidRPr="009D735E">
        <w:rPr>
          <w:rFonts w:cs="Arial"/>
          <w:b/>
          <w:szCs w:val="20"/>
          <w:lang w:val="fr-FR"/>
        </w:rPr>
        <w:t>:</w:t>
      </w:r>
      <w:r w:rsidR="00A25ED1" w:rsidRPr="009D735E">
        <w:rPr>
          <w:rFonts w:cs="Arial"/>
          <w:bCs/>
          <w:szCs w:val="20"/>
          <w:lang w:val="fr-FR"/>
        </w:rPr>
        <w:t xml:space="preserve"> Les utilisateurs voient en un coup d'œil la performance des composants individuels.</w:t>
      </w:r>
    </w:p>
    <w:p w14:paraId="4C1598D3" w14:textId="598E80F4" w:rsidR="00314569" w:rsidRPr="009D735E" w:rsidRDefault="009319E6" w:rsidP="00A0773C">
      <w:pPr>
        <w:pStyle w:val="Listenabsatz"/>
        <w:numPr>
          <w:ilvl w:val="0"/>
          <w:numId w:val="24"/>
        </w:numPr>
        <w:spacing w:line="360" w:lineRule="auto"/>
        <w:ind w:right="1693"/>
        <w:jc w:val="left"/>
        <w:rPr>
          <w:rFonts w:cs="Arial"/>
          <w:szCs w:val="20"/>
          <w:lang w:val="fr-FR"/>
        </w:rPr>
      </w:pPr>
      <w:r w:rsidRPr="009319E6">
        <w:rPr>
          <w:rFonts w:cs="Arial"/>
          <w:b/>
          <w:szCs w:val="20"/>
          <w:lang w:val="fr-FR"/>
        </w:rPr>
        <w:t>Reject Items </w:t>
      </w:r>
      <w:r w:rsidR="00A25ED1" w:rsidRPr="009D735E">
        <w:rPr>
          <w:rFonts w:cs="Arial"/>
          <w:b/>
          <w:szCs w:val="20"/>
          <w:lang w:val="fr-FR"/>
        </w:rPr>
        <w:t xml:space="preserve">: </w:t>
      </w:r>
      <w:r w:rsidR="00A25ED1" w:rsidRPr="009D735E">
        <w:rPr>
          <w:rFonts w:cs="Arial"/>
          <w:bCs/>
          <w:szCs w:val="20"/>
          <w:lang w:val="fr-FR"/>
        </w:rPr>
        <w:t>Les bacs qui sont évacués du système entraînent un travail manuel important. Un suivi exact des supports de manutention pour une analyse structurée réduit la charge administrative.</w:t>
      </w:r>
    </w:p>
    <w:p w14:paraId="20AD8058" w14:textId="54995F83" w:rsidR="00314569" w:rsidRPr="009D735E" w:rsidRDefault="00314569" w:rsidP="00314569">
      <w:pPr>
        <w:spacing w:line="360" w:lineRule="auto"/>
        <w:ind w:left="0" w:right="1693"/>
        <w:rPr>
          <w:rFonts w:cs="Arial"/>
          <w:b/>
          <w:szCs w:val="20"/>
          <w:lang w:val="fr-FR"/>
        </w:rPr>
      </w:pPr>
    </w:p>
    <w:p w14:paraId="1AF216EF" w14:textId="78660D58" w:rsidR="00314569" w:rsidRPr="009D735E" w:rsidRDefault="00314569" w:rsidP="00314569">
      <w:pPr>
        <w:spacing w:line="360" w:lineRule="auto"/>
        <w:ind w:left="0" w:right="1693"/>
        <w:rPr>
          <w:rFonts w:cs="Arial"/>
          <w:b/>
          <w:szCs w:val="20"/>
          <w:lang w:val="fr-FR"/>
        </w:rPr>
      </w:pPr>
    </w:p>
    <w:p w14:paraId="7E1AEB91" w14:textId="77777777" w:rsidR="00314569" w:rsidRPr="009D735E" w:rsidRDefault="00314569" w:rsidP="00314569">
      <w:pPr>
        <w:spacing w:line="360" w:lineRule="auto"/>
        <w:ind w:left="0" w:right="1693"/>
        <w:rPr>
          <w:rFonts w:cs="Arial"/>
          <w:b/>
          <w:szCs w:val="20"/>
          <w:lang w:val="fr-FR"/>
        </w:rPr>
      </w:pPr>
    </w:p>
    <w:p w14:paraId="0F527044" w14:textId="46622891" w:rsidR="00314569" w:rsidRPr="009D735E" w:rsidRDefault="00F82684" w:rsidP="00314569">
      <w:pPr>
        <w:spacing w:line="360" w:lineRule="auto"/>
        <w:ind w:left="0" w:right="1693"/>
        <w:rPr>
          <w:rFonts w:cs="Arial"/>
          <w:szCs w:val="20"/>
          <w:lang w:val="fr-FR"/>
        </w:rPr>
      </w:pPr>
      <w:hyperlink r:id="rId11" w:history="1">
        <w:r w:rsidR="00FF0D51" w:rsidRPr="009D735E">
          <w:rPr>
            <w:rStyle w:val="Hyperlink"/>
            <w:rFonts w:cs="Arial"/>
            <w:szCs w:val="20"/>
            <w:lang w:val="fr-FR"/>
          </w:rPr>
          <w:t>www.tgw-group.com</w:t>
        </w:r>
      </w:hyperlink>
    </w:p>
    <w:p w14:paraId="0F519118" w14:textId="6AD7DCF1" w:rsidR="0089485A" w:rsidRPr="009D735E" w:rsidRDefault="0089485A" w:rsidP="00314569">
      <w:pPr>
        <w:spacing w:line="360" w:lineRule="auto"/>
        <w:ind w:left="0" w:right="1693"/>
        <w:rPr>
          <w:rFonts w:cs="Arial"/>
          <w:b/>
          <w:szCs w:val="20"/>
          <w:lang w:val="fr-FR"/>
        </w:rPr>
      </w:pPr>
    </w:p>
    <w:p w14:paraId="4E577D69" w14:textId="6B8A83AC" w:rsidR="00675258" w:rsidRPr="009D735E" w:rsidRDefault="00675258" w:rsidP="004356E7">
      <w:pPr>
        <w:pStyle w:val="Listenabsatz"/>
        <w:spacing w:line="360" w:lineRule="auto"/>
        <w:ind w:right="1693"/>
        <w:rPr>
          <w:rFonts w:cs="Arial"/>
          <w:b/>
          <w:szCs w:val="20"/>
          <w:lang w:val="fr-FR"/>
        </w:rPr>
      </w:pPr>
    </w:p>
    <w:p w14:paraId="3BEA4111" w14:textId="7E57B931" w:rsidR="00F46145" w:rsidRPr="009D735E" w:rsidRDefault="00F46145" w:rsidP="004356E7">
      <w:pPr>
        <w:pStyle w:val="Listenabsatz"/>
        <w:spacing w:line="360" w:lineRule="auto"/>
        <w:ind w:right="1693"/>
        <w:rPr>
          <w:rFonts w:cs="Arial"/>
          <w:b/>
          <w:szCs w:val="20"/>
          <w:lang w:val="fr-FR"/>
        </w:rPr>
      </w:pPr>
    </w:p>
    <w:p w14:paraId="06688058" w14:textId="77777777" w:rsidR="004544D4" w:rsidRPr="009D735E" w:rsidRDefault="004544D4" w:rsidP="004356E7">
      <w:pPr>
        <w:pStyle w:val="Listenabsatz"/>
        <w:spacing w:line="360" w:lineRule="auto"/>
        <w:ind w:right="1693"/>
        <w:rPr>
          <w:rFonts w:cs="Arial"/>
          <w:b/>
          <w:szCs w:val="20"/>
          <w:lang w:val="fr-FR"/>
        </w:rPr>
      </w:pPr>
    </w:p>
    <w:p w14:paraId="22FE876B" w14:textId="5C0928A9" w:rsidR="00314569" w:rsidRPr="009D735E" w:rsidRDefault="00314569" w:rsidP="004356E7">
      <w:pPr>
        <w:pStyle w:val="Listenabsatz"/>
        <w:spacing w:line="360" w:lineRule="auto"/>
        <w:ind w:right="1693"/>
        <w:rPr>
          <w:rFonts w:cs="Arial"/>
          <w:b/>
          <w:szCs w:val="20"/>
          <w:lang w:val="fr-FR"/>
        </w:rPr>
      </w:pPr>
    </w:p>
    <w:p w14:paraId="6669D560" w14:textId="61CB9207" w:rsidR="009246DB" w:rsidRPr="009D735E" w:rsidRDefault="009246DB" w:rsidP="004356E7">
      <w:pPr>
        <w:pStyle w:val="Listenabsatz"/>
        <w:spacing w:line="360" w:lineRule="auto"/>
        <w:ind w:right="1693"/>
        <w:rPr>
          <w:rFonts w:cs="Arial"/>
          <w:b/>
          <w:szCs w:val="20"/>
          <w:lang w:val="fr-FR"/>
        </w:rPr>
      </w:pPr>
    </w:p>
    <w:p w14:paraId="4FCF5DA5" w14:textId="2F911760" w:rsidR="00314569" w:rsidRPr="00604E69" w:rsidRDefault="00314569" w:rsidP="00604E69">
      <w:pPr>
        <w:spacing w:line="360" w:lineRule="auto"/>
        <w:ind w:left="0" w:right="1693"/>
        <w:rPr>
          <w:rFonts w:cs="Arial"/>
          <w:b/>
          <w:szCs w:val="20"/>
          <w:lang w:val="fr-FR"/>
        </w:rPr>
      </w:pPr>
    </w:p>
    <w:p w14:paraId="417AAD62" w14:textId="77777777" w:rsidR="00BC7952" w:rsidRPr="009D735E" w:rsidRDefault="00BC7952" w:rsidP="00BC7952">
      <w:pPr>
        <w:spacing w:line="240" w:lineRule="auto"/>
        <w:ind w:left="0" w:right="1693"/>
        <w:rPr>
          <w:rStyle w:val="Hyperlink"/>
          <w:b/>
          <w:color w:val="auto"/>
          <w:u w:val="none"/>
          <w:lang w:val="fr-FR"/>
        </w:rPr>
      </w:pPr>
      <w:r w:rsidRPr="009D735E">
        <w:rPr>
          <w:rStyle w:val="Hyperlink"/>
          <w:b/>
          <w:color w:val="auto"/>
          <w:u w:val="none"/>
          <w:lang w:val="fr-FR"/>
        </w:rPr>
        <w:lastRenderedPageBreak/>
        <w:t>À propos de TGW Logistics Group :</w:t>
      </w:r>
    </w:p>
    <w:p w14:paraId="1A5A4F56"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14:paraId="15A25BB4" w14:textId="77777777" w:rsidR="00BC7952" w:rsidRPr="009D735E" w:rsidRDefault="00BC7952" w:rsidP="00BC7952">
      <w:pPr>
        <w:spacing w:line="240" w:lineRule="auto"/>
        <w:ind w:left="0" w:right="1693"/>
        <w:rPr>
          <w:rStyle w:val="Hyperlink"/>
          <w:color w:val="auto"/>
          <w:u w:val="none"/>
          <w:lang w:val="fr-FR"/>
        </w:rPr>
      </w:pPr>
    </w:p>
    <w:p w14:paraId="10A4CA7B" w14:textId="559025F5"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14:paraId="1CF88C1B" w14:textId="77777777" w:rsidR="00BC7952" w:rsidRPr="009D735E" w:rsidRDefault="00BC7952" w:rsidP="00BC7952">
      <w:pPr>
        <w:spacing w:line="240" w:lineRule="auto"/>
        <w:ind w:left="0" w:right="1693"/>
        <w:rPr>
          <w:rStyle w:val="Hyperlink"/>
          <w:color w:val="auto"/>
          <w:u w:val="none"/>
          <w:lang w:val="fr-FR"/>
        </w:rPr>
      </w:pPr>
    </w:p>
    <w:p w14:paraId="06239CDD" w14:textId="77777777" w:rsidR="00BC7952" w:rsidRPr="009D735E" w:rsidRDefault="00BC7952" w:rsidP="00BC7952">
      <w:pPr>
        <w:spacing w:line="240" w:lineRule="auto"/>
        <w:ind w:left="0" w:right="1693"/>
        <w:rPr>
          <w:rStyle w:val="Hyperlink"/>
          <w:color w:val="auto"/>
          <w:u w:val="none"/>
          <w:lang w:val="fr-FR"/>
        </w:rPr>
      </w:pPr>
    </w:p>
    <w:p w14:paraId="1F456E7A" w14:textId="77777777" w:rsidR="00BC7952" w:rsidRPr="009D735E" w:rsidRDefault="00BC7952" w:rsidP="00BC7952">
      <w:pPr>
        <w:spacing w:line="240" w:lineRule="auto"/>
        <w:ind w:left="0" w:right="1693"/>
        <w:rPr>
          <w:rStyle w:val="Hyperlink"/>
          <w:color w:val="auto"/>
          <w:u w:val="none"/>
          <w:lang w:val="fr-FR"/>
        </w:rPr>
      </w:pPr>
    </w:p>
    <w:p w14:paraId="45AC0DE5" w14:textId="77777777" w:rsidR="00BC7952" w:rsidRPr="009D735E" w:rsidRDefault="00BC7952" w:rsidP="00BC7952">
      <w:pPr>
        <w:spacing w:line="240" w:lineRule="auto"/>
        <w:ind w:left="0" w:right="1693"/>
        <w:rPr>
          <w:rStyle w:val="Hyperlink"/>
          <w:b/>
          <w:color w:val="auto"/>
          <w:u w:val="none"/>
          <w:lang w:val="fr-FR"/>
        </w:rPr>
      </w:pPr>
      <w:r w:rsidRPr="009D735E">
        <w:rPr>
          <w:rStyle w:val="Hyperlink"/>
          <w:b/>
          <w:color w:val="auto"/>
          <w:u w:val="none"/>
          <w:lang w:val="fr-FR"/>
        </w:rPr>
        <w:t>Images</w:t>
      </w:r>
    </w:p>
    <w:p w14:paraId="749DE048"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67B21F0B" w14:textId="77777777" w:rsidR="00BC7952" w:rsidRPr="009D735E" w:rsidRDefault="00BC7952" w:rsidP="00BC7952">
      <w:pPr>
        <w:spacing w:line="240" w:lineRule="auto"/>
        <w:ind w:left="0" w:right="1693"/>
        <w:rPr>
          <w:rStyle w:val="Hyperlink"/>
          <w:color w:val="auto"/>
          <w:u w:val="none"/>
          <w:lang w:val="fr-FR"/>
        </w:rPr>
      </w:pPr>
    </w:p>
    <w:p w14:paraId="375DD09F" w14:textId="77777777" w:rsidR="00BC7952" w:rsidRPr="009D735E" w:rsidRDefault="00BC7952" w:rsidP="00BC7952">
      <w:pPr>
        <w:spacing w:line="240" w:lineRule="auto"/>
        <w:ind w:left="0" w:right="1693"/>
        <w:rPr>
          <w:rStyle w:val="Hyperlink"/>
          <w:color w:val="auto"/>
          <w:u w:val="none"/>
          <w:lang w:val="fr-FR"/>
        </w:rPr>
      </w:pPr>
    </w:p>
    <w:p w14:paraId="2519459F" w14:textId="77777777" w:rsidR="00BC7952" w:rsidRPr="009D735E" w:rsidRDefault="00BC7952" w:rsidP="00BC7952">
      <w:pPr>
        <w:spacing w:line="240" w:lineRule="auto"/>
        <w:ind w:left="0" w:right="1693"/>
        <w:rPr>
          <w:rStyle w:val="Hyperlink"/>
          <w:b/>
          <w:color w:val="auto"/>
          <w:u w:val="none"/>
          <w:lang w:val="fr-FR"/>
        </w:rPr>
      </w:pPr>
      <w:r w:rsidRPr="009D735E">
        <w:rPr>
          <w:rStyle w:val="Hyperlink"/>
          <w:b/>
          <w:color w:val="auto"/>
          <w:u w:val="none"/>
          <w:lang w:val="fr-FR"/>
        </w:rPr>
        <w:t>Contact :</w:t>
      </w:r>
    </w:p>
    <w:p w14:paraId="5590A0C7"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TGW Logistics Group GmbH</w:t>
      </w:r>
    </w:p>
    <w:p w14:paraId="2874DF17"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A-4614 Marchtrenk, Ludwig Szinicz Straße 3</w:t>
      </w:r>
    </w:p>
    <w:p w14:paraId="269F454E"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T : +43.(0)50.486-0</w:t>
      </w:r>
    </w:p>
    <w:p w14:paraId="473293E8"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F : +43.(0)50.486-31</w:t>
      </w:r>
    </w:p>
    <w:p w14:paraId="7A610B90"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Courriel : tgw@tgw-group.com</w:t>
      </w:r>
    </w:p>
    <w:p w14:paraId="78057CCF" w14:textId="77777777" w:rsidR="00BC7952" w:rsidRPr="009D735E" w:rsidRDefault="00BC7952" w:rsidP="00BC7952">
      <w:pPr>
        <w:spacing w:line="240" w:lineRule="auto"/>
        <w:ind w:left="0" w:right="1693"/>
        <w:rPr>
          <w:rStyle w:val="Hyperlink"/>
          <w:color w:val="auto"/>
          <w:u w:val="none"/>
          <w:lang w:val="fr-FR"/>
        </w:rPr>
      </w:pPr>
    </w:p>
    <w:p w14:paraId="059207D1" w14:textId="77777777" w:rsidR="00F92A0D" w:rsidRPr="009D735E" w:rsidRDefault="00F92A0D" w:rsidP="00BC7952">
      <w:pPr>
        <w:spacing w:line="240" w:lineRule="auto"/>
        <w:ind w:left="0" w:right="1693"/>
        <w:rPr>
          <w:rStyle w:val="Hyperlink"/>
          <w:color w:val="auto"/>
          <w:u w:val="none"/>
          <w:lang w:val="fr-FR"/>
        </w:rPr>
      </w:pPr>
    </w:p>
    <w:p w14:paraId="4E427EB8" w14:textId="77777777" w:rsidR="00F92A0D" w:rsidRPr="009D735E" w:rsidRDefault="00F92A0D" w:rsidP="00BC7952">
      <w:pPr>
        <w:spacing w:line="240" w:lineRule="auto"/>
        <w:ind w:left="0" w:right="1693"/>
        <w:rPr>
          <w:rStyle w:val="Hyperlink"/>
          <w:color w:val="auto"/>
          <w:u w:val="none"/>
          <w:lang w:val="fr-FR"/>
        </w:rPr>
      </w:pPr>
      <w:r w:rsidRPr="009D735E">
        <w:rPr>
          <w:rStyle w:val="Hyperlink"/>
          <w:color w:val="auto"/>
          <w:u w:val="none"/>
          <w:lang w:val="fr-FR"/>
        </w:rPr>
        <w:t>Attaché de presse :</w:t>
      </w:r>
    </w:p>
    <w:p w14:paraId="68042F9C" w14:textId="77777777" w:rsidR="00F92A0D"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Alexander Tahedl</w:t>
      </w:r>
    </w:p>
    <w:p w14:paraId="03A35A8D"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Communications Specialist</w:t>
      </w:r>
    </w:p>
    <w:p w14:paraId="2CD595C3"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T : +43.(0)50.486-2267</w:t>
      </w:r>
    </w:p>
    <w:p w14:paraId="18DF18B5" w14:textId="77777777" w:rsidR="00BC7952" w:rsidRPr="009D735E" w:rsidRDefault="00BC7952" w:rsidP="00BC7952">
      <w:pPr>
        <w:spacing w:line="240" w:lineRule="auto"/>
        <w:ind w:left="0" w:right="1693"/>
        <w:rPr>
          <w:rStyle w:val="Hyperlink"/>
          <w:color w:val="auto"/>
          <w:u w:val="none"/>
          <w:lang w:val="fr-FR"/>
        </w:rPr>
      </w:pPr>
      <w:r w:rsidRPr="009D735E">
        <w:rPr>
          <w:rStyle w:val="Hyperlink"/>
          <w:color w:val="auto"/>
          <w:u w:val="none"/>
          <w:lang w:val="fr-FR"/>
        </w:rPr>
        <w:t>M : +43.(0)664.88459713</w:t>
      </w:r>
    </w:p>
    <w:p w14:paraId="4F06652C" w14:textId="02A3E4CA" w:rsidR="006231AE" w:rsidRPr="009D735E" w:rsidRDefault="00BC7952" w:rsidP="00604E69">
      <w:pPr>
        <w:spacing w:line="240" w:lineRule="auto"/>
        <w:ind w:left="0" w:right="1693"/>
        <w:rPr>
          <w:lang w:val="fr-FR"/>
        </w:rPr>
      </w:pPr>
      <w:r w:rsidRPr="009D735E">
        <w:rPr>
          <w:rStyle w:val="Hyperlink"/>
          <w:color w:val="auto"/>
          <w:u w:val="none"/>
          <w:lang w:val="fr-FR"/>
        </w:rPr>
        <w:t>alexander.tahedl@tgw-group.com</w:t>
      </w:r>
    </w:p>
    <w:sectPr w:rsidR="006231AE" w:rsidRPr="009D735E"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0059" w14:textId="77777777" w:rsidR="00700F1A" w:rsidRDefault="00700F1A" w:rsidP="00764006">
      <w:pPr>
        <w:spacing w:line="240" w:lineRule="auto"/>
      </w:pPr>
      <w:r>
        <w:separator/>
      </w:r>
    </w:p>
  </w:endnote>
  <w:endnote w:type="continuationSeparator" w:id="0">
    <w:p w14:paraId="55A1F588" w14:textId="77777777" w:rsidR="00700F1A" w:rsidRDefault="00700F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26F77CAF" w14:textId="77777777" w:rsidTr="00A345ED">
      <w:tc>
        <w:tcPr>
          <w:tcW w:w="6474" w:type="dxa"/>
        </w:tcPr>
        <w:p w14:paraId="77BF932F"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B7E59C7"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0946E9C2" w14:textId="77777777" w:rsidR="00B72812" w:rsidRPr="00C424EA" w:rsidRDefault="00B72812" w:rsidP="00C424EA">
          <w:pPr>
            <w:pStyle w:val="Fuzeile"/>
            <w:rPr>
              <w:sz w:val="16"/>
              <w:szCs w:val="16"/>
            </w:rPr>
          </w:pPr>
        </w:p>
      </w:tc>
      <w:tc>
        <w:tcPr>
          <w:tcW w:w="2438" w:type="dxa"/>
          <w:vAlign w:val="center"/>
        </w:tcPr>
        <w:p w14:paraId="00826F61" w14:textId="20267A2E"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F82684">
            <w:rPr>
              <w:noProof/>
              <w:sz w:val="16"/>
              <w:szCs w:val="16"/>
            </w:rPr>
            <w:t>3</w:t>
          </w:r>
          <w:r w:rsidRPr="00C424EA">
            <w:rPr>
              <w:sz w:val="16"/>
              <w:szCs w:val="16"/>
            </w:rPr>
            <w:fldChar w:fldCharType="end"/>
          </w:r>
          <w:r>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F82684">
            <w:rPr>
              <w:noProof/>
              <w:sz w:val="16"/>
              <w:szCs w:val="16"/>
            </w:rPr>
            <w:t>3</w:t>
          </w:r>
          <w:r w:rsidRPr="00C424EA">
            <w:rPr>
              <w:noProof/>
              <w:sz w:val="16"/>
              <w:szCs w:val="16"/>
            </w:rPr>
            <w:fldChar w:fldCharType="end"/>
          </w:r>
        </w:p>
      </w:tc>
    </w:tr>
  </w:tbl>
  <w:p w14:paraId="7F771200"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C8C0" w14:textId="77777777" w:rsidR="00700F1A" w:rsidRDefault="00700F1A" w:rsidP="00764006">
      <w:pPr>
        <w:spacing w:line="240" w:lineRule="auto"/>
      </w:pPr>
      <w:r>
        <w:separator/>
      </w:r>
    </w:p>
  </w:footnote>
  <w:footnote w:type="continuationSeparator" w:id="0">
    <w:p w14:paraId="363EEDF0" w14:textId="77777777" w:rsidR="00700F1A" w:rsidRDefault="00700F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F10" w14:textId="77777777" w:rsidR="00B72812" w:rsidRDefault="00B72812" w:rsidP="00C54F6A">
    <w:pPr>
      <w:pStyle w:val="Dokumententitel"/>
    </w:pPr>
  </w:p>
  <w:p w14:paraId="767BA1CA" w14:textId="77777777"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7FFABF6F"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41410A"/>
    <w:multiLevelType w:val="hybridMultilevel"/>
    <w:tmpl w:val="9D9A910C"/>
    <w:lvl w:ilvl="0" w:tplc="22C2CA7E">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8"/>
  </w:num>
  <w:num w:numId="5">
    <w:abstractNumId w:val="20"/>
  </w:num>
  <w:num w:numId="6">
    <w:abstractNumId w:val="4"/>
  </w:num>
  <w:num w:numId="7">
    <w:abstractNumId w:val="1"/>
  </w:num>
  <w:num w:numId="8">
    <w:abstractNumId w:val="16"/>
  </w:num>
  <w:num w:numId="9">
    <w:abstractNumId w:val="6"/>
  </w:num>
  <w:num w:numId="10">
    <w:abstractNumId w:val="22"/>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23"/>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6E2"/>
    <w:rsid w:val="000A579F"/>
    <w:rsid w:val="000A5D32"/>
    <w:rsid w:val="000A605B"/>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1D58"/>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17330"/>
    <w:rsid w:val="0012094E"/>
    <w:rsid w:val="00120955"/>
    <w:rsid w:val="001230A6"/>
    <w:rsid w:val="00125FEB"/>
    <w:rsid w:val="0012627D"/>
    <w:rsid w:val="00126DA1"/>
    <w:rsid w:val="00127ECE"/>
    <w:rsid w:val="001305E8"/>
    <w:rsid w:val="00130D09"/>
    <w:rsid w:val="00131A55"/>
    <w:rsid w:val="001336DF"/>
    <w:rsid w:val="0013383F"/>
    <w:rsid w:val="001338DB"/>
    <w:rsid w:val="00134AF1"/>
    <w:rsid w:val="001404D7"/>
    <w:rsid w:val="00140DF0"/>
    <w:rsid w:val="00141099"/>
    <w:rsid w:val="00142015"/>
    <w:rsid w:val="00142599"/>
    <w:rsid w:val="001429F4"/>
    <w:rsid w:val="00142C72"/>
    <w:rsid w:val="00142D0C"/>
    <w:rsid w:val="00144E88"/>
    <w:rsid w:val="00147C5F"/>
    <w:rsid w:val="0015180E"/>
    <w:rsid w:val="00151FD8"/>
    <w:rsid w:val="00152760"/>
    <w:rsid w:val="00152A09"/>
    <w:rsid w:val="00153C82"/>
    <w:rsid w:val="00153D8F"/>
    <w:rsid w:val="00154627"/>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6F8"/>
    <w:rsid w:val="00180B8A"/>
    <w:rsid w:val="00180E49"/>
    <w:rsid w:val="001823FD"/>
    <w:rsid w:val="00182747"/>
    <w:rsid w:val="00183067"/>
    <w:rsid w:val="001832C9"/>
    <w:rsid w:val="00184021"/>
    <w:rsid w:val="0018476A"/>
    <w:rsid w:val="00184C9A"/>
    <w:rsid w:val="00185240"/>
    <w:rsid w:val="00185895"/>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0FE"/>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B59FE"/>
    <w:rsid w:val="002C0149"/>
    <w:rsid w:val="002C0832"/>
    <w:rsid w:val="002C1269"/>
    <w:rsid w:val="002C265D"/>
    <w:rsid w:val="002C36E5"/>
    <w:rsid w:val="002C4112"/>
    <w:rsid w:val="002C652E"/>
    <w:rsid w:val="002C69C9"/>
    <w:rsid w:val="002D039B"/>
    <w:rsid w:val="002D1384"/>
    <w:rsid w:val="002D1970"/>
    <w:rsid w:val="002D44D3"/>
    <w:rsid w:val="002D499C"/>
    <w:rsid w:val="002D5361"/>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569"/>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56F"/>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C74"/>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5652"/>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56E7"/>
    <w:rsid w:val="0043609D"/>
    <w:rsid w:val="00436969"/>
    <w:rsid w:val="00437BBE"/>
    <w:rsid w:val="00437C38"/>
    <w:rsid w:val="00441894"/>
    <w:rsid w:val="00441AEC"/>
    <w:rsid w:val="0044203F"/>
    <w:rsid w:val="00442F8F"/>
    <w:rsid w:val="0044393D"/>
    <w:rsid w:val="004439E0"/>
    <w:rsid w:val="00443B6E"/>
    <w:rsid w:val="00445563"/>
    <w:rsid w:val="00445CE3"/>
    <w:rsid w:val="00445F41"/>
    <w:rsid w:val="00446F4E"/>
    <w:rsid w:val="00451316"/>
    <w:rsid w:val="00451FDA"/>
    <w:rsid w:val="004521B9"/>
    <w:rsid w:val="00453D91"/>
    <w:rsid w:val="00453F5D"/>
    <w:rsid w:val="004544D4"/>
    <w:rsid w:val="00454B07"/>
    <w:rsid w:val="004551DA"/>
    <w:rsid w:val="00456A9F"/>
    <w:rsid w:val="00456CDC"/>
    <w:rsid w:val="004600D9"/>
    <w:rsid w:val="004606C2"/>
    <w:rsid w:val="0046071F"/>
    <w:rsid w:val="00460F45"/>
    <w:rsid w:val="004610E8"/>
    <w:rsid w:val="004612C8"/>
    <w:rsid w:val="00461EA5"/>
    <w:rsid w:val="00462574"/>
    <w:rsid w:val="00462BBC"/>
    <w:rsid w:val="00464F70"/>
    <w:rsid w:val="00465AAB"/>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C26"/>
    <w:rsid w:val="004903C0"/>
    <w:rsid w:val="00490717"/>
    <w:rsid w:val="00490A26"/>
    <w:rsid w:val="00491D27"/>
    <w:rsid w:val="0049427C"/>
    <w:rsid w:val="00494BF3"/>
    <w:rsid w:val="0049726A"/>
    <w:rsid w:val="00497FF7"/>
    <w:rsid w:val="004A105A"/>
    <w:rsid w:val="004A2AC3"/>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4F7D59"/>
    <w:rsid w:val="0050153C"/>
    <w:rsid w:val="00503329"/>
    <w:rsid w:val="0050424B"/>
    <w:rsid w:val="005054EF"/>
    <w:rsid w:val="0050713A"/>
    <w:rsid w:val="00507251"/>
    <w:rsid w:val="005136AB"/>
    <w:rsid w:val="00513E41"/>
    <w:rsid w:val="005142E3"/>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77081"/>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3CDF"/>
    <w:rsid w:val="00604918"/>
    <w:rsid w:val="00604E69"/>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2BD"/>
    <w:rsid w:val="00641763"/>
    <w:rsid w:val="006437FF"/>
    <w:rsid w:val="00643CDE"/>
    <w:rsid w:val="00644F94"/>
    <w:rsid w:val="006474AB"/>
    <w:rsid w:val="00647DAE"/>
    <w:rsid w:val="00650DF4"/>
    <w:rsid w:val="006527DF"/>
    <w:rsid w:val="00653F9B"/>
    <w:rsid w:val="006564C4"/>
    <w:rsid w:val="00657E3E"/>
    <w:rsid w:val="00657F6B"/>
    <w:rsid w:val="00660132"/>
    <w:rsid w:val="00660B22"/>
    <w:rsid w:val="00662A3A"/>
    <w:rsid w:val="00664198"/>
    <w:rsid w:val="00665DAD"/>
    <w:rsid w:val="0066728B"/>
    <w:rsid w:val="006672B8"/>
    <w:rsid w:val="00670BF3"/>
    <w:rsid w:val="0067197F"/>
    <w:rsid w:val="0067358E"/>
    <w:rsid w:val="00673B03"/>
    <w:rsid w:val="006741A8"/>
    <w:rsid w:val="00675258"/>
    <w:rsid w:val="006762E1"/>
    <w:rsid w:val="0067659E"/>
    <w:rsid w:val="00676927"/>
    <w:rsid w:val="00676996"/>
    <w:rsid w:val="00677B13"/>
    <w:rsid w:val="00677CA5"/>
    <w:rsid w:val="00680693"/>
    <w:rsid w:val="00680FBD"/>
    <w:rsid w:val="006821C8"/>
    <w:rsid w:val="00682655"/>
    <w:rsid w:val="00682A4A"/>
    <w:rsid w:val="00683619"/>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3550"/>
    <w:rsid w:val="006C57BA"/>
    <w:rsid w:val="006C597B"/>
    <w:rsid w:val="006C6620"/>
    <w:rsid w:val="006C69EE"/>
    <w:rsid w:val="006C6F22"/>
    <w:rsid w:val="006C776C"/>
    <w:rsid w:val="006C79BB"/>
    <w:rsid w:val="006C7DFF"/>
    <w:rsid w:val="006D0708"/>
    <w:rsid w:val="006D0846"/>
    <w:rsid w:val="006D1655"/>
    <w:rsid w:val="006D1804"/>
    <w:rsid w:val="006D240C"/>
    <w:rsid w:val="006D27DD"/>
    <w:rsid w:val="006D425E"/>
    <w:rsid w:val="006D48A6"/>
    <w:rsid w:val="006D57D8"/>
    <w:rsid w:val="006D5C2C"/>
    <w:rsid w:val="006D6390"/>
    <w:rsid w:val="006D7AB4"/>
    <w:rsid w:val="006D7ABD"/>
    <w:rsid w:val="006E0235"/>
    <w:rsid w:val="006E10F6"/>
    <w:rsid w:val="006E1E19"/>
    <w:rsid w:val="006E24DB"/>
    <w:rsid w:val="006E2767"/>
    <w:rsid w:val="006E30D5"/>
    <w:rsid w:val="006E35F2"/>
    <w:rsid w:val="006E373B"/>
    <w:rsid w:val="006E4391"/>
    <w:rsid w:val="006E4D4D"/>
    <w:rsid w:val="006E6264"/>
    <w:rsid w:val="006E714E"/>
    <w:rsid w:val="006F0740"/>
    <w:rsid w:val="006F25CF"/>
    <w:rsid w:val="006F26BE"/>
    <w:rsid w:val="006F35E4"/>
    <w:rsid w:val="006F4261"/>
    <w:rsid w:val="006F4F34"/>
    <w:rsid w:val="006F6E1B"/>
    <w:rsid w:val="007001D0"/>
    <w:rsid w:val="007003DA"/>
    <w:rsid w:val="00700F1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364"/>
    <w:rsid w:val="00725ABE"/>
    <w:rsid w:val="00726174"/>
    <w:rsid w:val="00727ADF"/>
    <w:rsid w:val="007303A5"/>
    <w:rsid w:val="00730938"/>
    <w:rsid w:val="0073167A"/>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5587"/>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256"/>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28C"/>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6CD"/>
    <w:rsid w:val="00810B98"/>
    <w:rsid w:val="008116B7"/>
    <w:rsid w:val="00812493"/>
    <w:rsid w:val="0081251A"/>
    <w:rsid w:val="00812567"/>
    <w:rsid w:val="00812AA2"/>
    <w:rsid w:val="00812E4D"/>
    <w:rsid w:val="008133EE"/>
    <w:rsid w:val="00814130"/>
    <w:rsid w:val="008156F3"/>
    <w:rsid w:val="0081610E"/>
    <w:rsid w:val="00816372"/>
    <w:rsid w:val="00816A51"/>
    <w:rsid w:val="00816E56"/>
    <w:rsid w:val="00820146"/>
    <w:rsid w:val="008212BD"/>
    <w:rsid w:val="0082145B"/>
    <w:rsid w:val="00821891"/>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85A"/>
    <w:rsid w:val="00894DA5"/>
    <w:rsid w:val="00896E3C"/>
    <w:rsid w:val="00896FDB"/>
    <w:rsid w:val="00897119"/>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4D70"/>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6DB"/>
    <w:rsid w:val="009248C3"/>
    <w:rsid w:val="009275F8"/>
    <w:rsid w:val="009319E6"/>
    <w:rsid w:val="009321FE"/>
    <w:rsid w:val="00934279"/>
    <w:rsid w:val="00942462"/>
    <w:rsid w:val="009428A3"/>
    <w:rsid w:val="00942EDF"/>
    <w:rsid w:val="009440B4"/>
    <w:rsid w:val="0094458E"/>
    <w:rsid w:val="00944A2A"/>
    <w:rsid w:val="00946640"/>
    <w:rsid w:val="00950B7B"/>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35E"/>
    <w:rsid w:val="009D7D6D"/>
    <w:rsid w:val="009E252D"/>
    <w:rsid w:val="009E2728"/>
    <w:rsid w:val="009E2B08"/>
    <w:rsid w:val="009E3D50"/>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0773C"/>
    <w:rsid w:val="00A201C8"/>
    <w:rsid w:val="00A22863"/>
    <w:rsid w:val="00A22B75"/>
    <w:rsid w:val="00A2351E"/>
    <w:rsid w:val="00A2371E"/>
    <w:rsid w:val="00A24347"/>
    <w:rsid w:val="00A25AFA"/>
    <w:rsid w:val="00A25ED1"/>
    <w:rsid w:val="00A26CBA"/>
    <w:rsid w:val="00A26E3F"/>
    <w:rsid w:val="00A31862"/>
    <w:rsid w:val="00A31869"/>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6C3"/>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1407"/>
    <w:rsid w:val="00AA3331"/>
    <w:rsid w:val="00AA3942"/>
    <w:rsid w:val="00AA39CB"/>
    <w:rsid w:val="00AA52E5"/>
    <w:rsid w:val="00AA5911"/>
    <w:rsid w:val="00AA7624"/>
    <w:rsid w:val="00AB19F8"/>
    <w:rsid w:val="00AB2298"/>
    <w:rsid w:val="00AB2841"/>
    <w:rsid w:val="00AB2EE2"/>
    <w:rsid w:val="00AB3FC4"/>
    <w:rsid w:val="00AB4626"/>
    <w:rsid w:val="00AC23B9"/>
    <w:rsid w:val="00AC25B4"/>
    <w:rsid w:val="00AC49AD"/>
    <w:rsid w:val="00AC5342"/>
    <w:rsid w:val="00AC55E3"/>
    <w:rsid w:val="00AC659A"/>
    <w:rsid w:val="00AD0287"/>
    <w:rsid w:val="00AD14B2"/>
    <w:rsid w:val="00AD3796"/>
    <w:rsid w:val="00AD3C4D"/>
    <w:rsid w:val="00AD4207"/>
    <w:rsid w:val="00AD5BDA"/>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09C"/>
    <w:rsid w:val="00AF2210"/>
    <w:rsid w:val="00AF330A"/>
    <w:rsid w:val="00AF3F9D"/>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30954"/>
    <w:rsid w:val="00B31125"/>
    <w:rsid w:val="00B318C2"/>
    <w:rsid w:val="00B32A18"/>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4EF8"/>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5D"/>
    <w:rsid w:val="00B61906"/>
    <w:rsid w:val="00B619E4"/>
    <w:rsid w:val="00B62DA0"/>
    <w:rsid w:val="00B6393F"/>
    <w:rsid w:val="00B64272"/>
    <w:rsid w:val="00B64531"/>
    <w:rsid w:val="00B645B5"/>
    <w:rsid w:val="00B64BF5"/>
    <w:rsid w:val="00B65ABB"/>
    <w:rsid w:val="00B6604B"/>
    <w:rsid w:val="00B7183F"/>
    <w:rsid w:val="00B72812"/>
    <w:rsid w:val="00B72BDD"/>
    <w:rsid w:val="00B73A94"/>
    <w:rsid w:val="00B742B0"/>
    <w:rsid w:val="00B74A52"/>
    <w:rsid w:val="00B74AE4"/>
    <w:rsid w:val="00B74D4F"/>
    <w:rsid w:val="00B7544D"/>
    <w:rsid w:val="00B76F76"/>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96139"/>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1B27"/>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222"/>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39D8"/>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1EEE"/>
    <w:rsid w:val="00CC3414"/>
    <w:rsid w:val="00CC3B54"/>
    <w:rsid w:val="00CC56D7"/>
    <w:rsid w:val="00CC797E"/>
    <w:rsid w:val="00CC7CD3"/>
    <w:rsid w:val="00CD04F0"/>
    <w:rsid w:val="00CD1D14"/>
    <w:rsid w:val="00CD2979"/>
    <w:rsid w:val="00CD2F4C"/>
    <w:rsid w:val="00CD407B"/>
    <w:rsid w:val="00CD4129"/>
    <w:rsid w:val="00CD4586"/>
    <w:rsid w:val="00CD6174"/>
    <w:rsid w:val="00CD6F45"/>
    <w:rsid w:val="00CD7008"/>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87303"/>
    <w:rsid w:val="00D90007"/>
    <w:rsid w:val="00D9209E"/>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10E5"/>
    <w:rsid w:val="00DD1988"/>
    <w:rsid w:val="00DD2491"/>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954"/>
    <w:rsid w:val="00E04EC4"/>
    <w:rsid w:val="00E051A8"/>
    <w:rsid w:val="00E055A6"/>
    <w:rsid w:val="00E06468"/>
    <w:rsid w:val="00E1041F"/>
    <w:rsid w:val="00E12857"/>
    <w:rsid w:val="00E12CC9"/>
    <w:rsid w:val="00E12D70"/>
    <w:rsid w:val="00E17AAB"/>
    <w:rsid w:val="00E204EE"/>
    <w:rsid w:val="00E20512"/>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00C"/>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0FCC"/>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696"/>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9CA"/>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5F99"/>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145"/>
    <w:rsid w:val="00F4623F"/>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684"/>
    <w:rsid w:val="00F82E3A"/>
    <w:rsid w:val="00F83BB4"/>
    <w:rsid w:val="00F84FF8"/>
    <w:rsid w:val="00F8517D"/>
    <w:rsid w:val="00F86EE6"/>
    <w:rsid w:val="00F90665"/>
    <w:rsid w:val="00F9121F"/>
    <w:rsid w:val="00F9169E"/>
    <w:rsid w:val="00F91B54"/>
    <w:rsid w:val="00F9281F"/>
    <w:rsid w:val="00F92A0D"/>
    <w:rsid w:val="00F945EB"/>
    <w:rsid w:val="00F94D68"/>
    <w:rsid w:val="00F95B74"/>
    <w:rsid w:val="00F9741C"/>
    <w:rsid w:val="00FA0F2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C48"/>
    <w:rsid w:val="00FB615F"/>
    <w:rsid w:val="00FB76E9"/>
    <w:rsid w:val="00FC0A6B"/>
    <w:rsid w:val="00FC12B9"/>
    <w:rsid w:val="00FC1FAB"/>
    <w:rsid w:val="00FC1FAC"/>
    <w:rsid w:val="00FC2065"/>
    <w:rsid w:val="00FC2498"/>
    <w:rsid w:val="00FC26CC"/>
    <w:rsid w:val="00FC6563"/>
    <w:rsid w:val="00FC726E"/>
    <w:rsid w:val="00FD002F"/>
    <w:rsid w:val="00FD06FE"/>
    <w:rsid w:val="00FD0D2B"/>
    <w:rsid w:val="00FD16E2"/>
    <w:rsid w:val="00FD17B6"/>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0D51"/>
    <w:rsid w:val="00FF2532"/>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D3F2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d7bbee-212f-42f3-bc38-a46983e57552"/>
    <ds:schemaRef ds:uri="35837b63-5559-4a02-aebb-6e054cabd880"/>
    <ds:schemaRef ds:uri="http://www.w3.org/XML/1998/namespace"/>
    <ds:schemaRef ds:uri="http://purl.org/dc/dcmitype/"/>
  </ds:schemaRefs>
</ds:datastoreItem>
</file>

<file path=customXml/itemProps4.xml><?xml version="1.0" encoding="utf-8"?>
<ds:datastoreItem xmlns:ds="http://schemas.openxmlformats.org/officeDocument/2006/customXml" ds:itemID="{E5D881D5-0AC4-44AE-9798-46720D6B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Datenanalyse von Intralogistikanlagen: Neue Webapplikation von TGW hilft bei Optimierung</vt:lpstr>
    </vt:vector>
  </TitlesOfParts>
  <Company>Klug</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L'analyse de données intelligente : nouvelle application web TGW facilite l'optimisation</dc:title>
  <dc:subject/>
  <dc:creator>Tahedl Alexander</dc:creator>
  <cp:keywords>L'analyse de données intelligente : nouvelle application web TGW facilite l'optimisation</cp:keywords>
  <dc:description/>
  <cp:lastModifiedBy>Tahedl Alexander</cp:lastModifiedBy>
  <cp:revision>85</cp:revision>
  <cp:lastPrinted>2022-12-07T09:46:00Z</cp:lastPrinted>
  <dcterms:created xsi:type="dcterms:W3CDTF">2022-12-13T09:10:00Z</dcterms:created>
  <dcterms:modified xsi:type="dcterms:W3CDTF">2023-03-15T08:08:00Z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