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E1" w:rsidRPr="00DF285B" w:rsidRDefault="00CE1EE1" w:rsidP="00CE1EE1">
      <w:pPr>
        <w:rPr>
          <w:rFonts w:cs="Arial"/>
          <w:b/>
          <w:sz w:val="28"/>
          <w:szCs w:val="28"/>
          <w:lang w:val="fr-FR"/>
        </w:rPr>
      </w:pPr>
      <w:r w:rsidRPr="00DF285B">
        <w:rPr>
          <w:rFonts w:cs="Arial"/>
          <w:b/>
          <w:sz w:val="28"/>
          <w:szCs w:val="28"/>
          <w:lang w:val="fr-FR"/>
        </w:rPr>
        <w:t xml:space="preserve">Logistique de la mode : Aucune alternative à l'automatisation </w:t>
      </w:r>
    </w:p>
    <w:p w:rsidR="00CE1EE1" w:rsidRPr="00CE1EE1" w:rsidRDefault="00CE1EE1" w:rsidP="00CE1EE1">
      <w:pPr>
        <w:rPr>
          <w:rFonts w:cs="Arial"/>
          <w:szCs w:val="20"/>
          <w:lang w:val="fr-FR"/>
        </w:rPr>
      </w:pPr>
    </w:p>
    <w:p w:rsidR="00CE1EE1" w:rsidRPr="00DF285B" w:rsidRDefault="00CE1EE1" w:rsidP="00DF285B">
      <w:pPr>
        <w:pStyle w:val="Paragraphedeliste"/>
        <w:numPr>
          <w:ilvl w:val="0"/>
          <w:numId w:val="25"/>
        </w:numPr>
        <w:rPr>
          <w:rFonts w:cs="Arial"/>
          <w:b/>
          <w:sz w:val="24"/>
          <w:szCs w:val="24"/>
          <w:lang w:val="fr-FR"/>
        </w:rPr>
      </w:pPr>
      <w:r w:rsidRPr="00DF285B">
        <w:rPr>
          <w:rFonts w:cs="Arial"/>
          <w:b/>
          <w:sz w:val="24"/>
          <w:szCs w:val="24"/>
          <w:lang w:val="fr-FR"/>
        </w:rPr>
        <w:t xml:space="preserve">Les Fashion Expert Days de TGW ont montré que des niveaux de service plus élevés, une pénurie de main-d'œuvre et une demande de plus en plus imprévisible sont les principaux </w:t>
      </w:r>
      <w:r w:rsidR="005D4DAA">
        <w:rPr>
          <w:rFonts w:cs="Arial"/>
          <w:b/>
          <w:sz w:val="24"/>
          <w:szCs w:val="24"/>
          <w:lang w:val="fr-FR"/>
        </w:rPr>
        <w:t>facteurs de décision pour les</w:t>
      </w:r>
      <w:r w:rsidRPr="00DF285B">
        <w:rPr>
          <w:rFonts w:cs="Arial"/>
          <w:b/>
          <w:sz w:val="24"/>
          <w:szCs w:val="24"/>
          <w:lang w:val="fr-FR"/>
        </w:rPr>
        <w:t xml:space="preserve"> </w:t>
      </w:r>
      <w:r w:rsidR="005D4DAA">
        <w:rPr>
          <w:rFonts w:cs="Arial"/>
          <w:b/>
          <w:sz w:val="24"/>
          <w:szCs w:val="24"/>
          <w:lang w:val="fr-FR"/>
        </w:rPr>
        <w:t>i</w:t>
      </w:r>
      <w:r w:rsidRPr="00DF285B">
        <w:rPr>
          <w:rFonts w:cs="Arial"/>
          <w:b/>
          <w:sz w:val="24"/>
          <w:szCs w:val="24"/>
          <w:lang w:val="fr-FR"/>
        </w:rPr>
        <w:t>nvestissement</w:t>
      </w:r>
      <w:r w:rsidR="005D4DAA">
        <w:rPr>
          <w:rFonts w:cs="Arial"/>
          <w:b/>
          <w:sz w:val="24"/>
          <w:szCs w:val="24"/>
          <w:lang w:val="fr-FR"/>
        </w:rPr>
        <w:t>s</w:t>
      </w:r>
      <w:r w:rsidRPr="00DF285B">
        <w:rPr>
          <w:rFonts w:cs="Arial"/>
          <w:b/>
          <w:sz w:val="24"/>
          <w:szCs w:val="24"/>
          <w:lang w:val="fr-FR"/>
        </w:rPr>
        <w:t>.</w:t>
      </w:r>
    </w:p>
    <w:p w:rsidR="00CE1EE1" w:rsidRPr="00DF285B" w:rsidRDefault="00CE1EE1" w:rsidP="00DF285B">
      <w:pPr>
        <w:pStyle w:val="Paragraphedeliste"/>
        <w:numPr>
          <w:ilvl w:val="0"/>
          <w:numId w:val="25"/>
        </w:numPr>
        <w:rPr>
          <w:rFonts w:cs="Arial"/>
          <w:b/>
          <w:sz w:val="24"/>
          <w:szCs w:val="24"/>
          <w:lang w:val="fr-FR"/>
        </w:rPr>
      </w:pPr>
      <w:r w:rsidRPr="00DF285B">
        <w:rPr>
          <w:rFonts w:cs="Arial"/>
          <w:b/>
          <w:sz w:val="24"/>
          <w:szCs w:val="24"/>
          <w:lang w:val="fr-FR"/>
        </w:rPr>
        <w:t xml:space="preserve">Plus de 120 participants ont </w:t>
      </w:r>
      <w:r w:rsidR="00DF285B">
        <w:rPr>
          <w:rFonts w:cs="Arial"/>
          <w:b/>
          <w:sz w:val="24"/>
          <w:szCs w:val="24"/>
          <w:lang w:val="fr-FR"/>
        </w:rPr>
        <w:t>échangé sur les</w:t>
      </w:r>
      <w:r w:rsidRPr="00DF285B">
        <w:rPr>
          <w:rFonts w:cs="Arial"/>
          <w:b/>
          <w:sz w:val="24"/>
          <w:szCs w:val="24"/>
          <w:lang w:val="fr-FR"/>
        </w:rPr>
        <w:t xml:space="preserve"> tendances de la mode. </w:t>
      </w:r>
    </w:p>
    <w:p w:rsidR="00CE1EE1" w:rsidRPr="00CE1EE1" w:rsidRDefault="00CE1EE1" w:rsidP="00CE1EE1">
      <w:pPr>
        <w:rPr>
          <w:rFonts w:cs="Arial"/>
          <w:szCs w:val="20"/>
          <w:lang w:val="fr-FR"/>
        </w:rPr>
      </w:pPr>
    </w:p>
    <w:p w:rsidR="005D4DAA" w:rsidRPr="005D4DAA" w:rsidRDefault="00D649D9" w:rsidP="005D4DAA">
      <w:pPr>
        <w:rPr>
          <w:rFonts w:cs="Arial"/>
          <w:szCs w:val="20"/>
          <w:lang w:val="fr-FR"/>
        </w:rPr>
      </w:pPr>
      <w:r>
        <w:rPr>
          <w:rFonts w:cs="Arial"/>
          <w:szCs w:val="20"/>
          <w:lang w:val="fr-FR"/>
        </w:rPr>
        <w:t>(</w:t>
      </w:r>
      <w:r w:rsidR="005D4DAA" w:rsidRPr="005D4DAA">
        <w:rPr>
          <w:rFonts w:cs="Arial"/>
          <w:szCs w:val="20"/>
          <w:lang w:val="fr-FR"/>
        </w:rPr>
        <w:t xml:space="preserve">Marchtrenk, 16.10.2019) Un niveau de service plus élevé, une demande de plus en plus imprévisible et une recherche de personnel difficile : tels sont les principaux moteurs des projets d'automatisation en logistique </w:t>
      </w:r>
      <w:r w:rsidR="0039626E">
        <w:rPr>
          <w:rFonts w:cs="Arial"/>
          <w:szCs w:val="20"/>
          <w:lang w:val="fr-FR"/>
        </w:rPr>
        <w:t>pour</w:t>
      </w:r>
      <w:r w:rsidR="005D4DAA" w:rsidRPr="005D4DAA">
        <w:rPr>
          <w:rFonts w:cs="Arial"/>
          <w:szCs w:val="20"/>
          <w:lang w:val="fr-FR"/>
        </w:rPr>
        <w:t xml:space="preserve"> la mode. Par conséquent, les fournisseurs de vêtements, chaussures </w:t>
      </w:r>
      <w:r w:rsidR="0009316E">
        <w:rPr>
          <w:rFonts w:cs="Arial"/>
          <w:szCs w:val="20"/>
          <w:lang w:val="fr-FR"/>
        </w:rPr>
        <w:t xml:space="preserve">et autres textiles </w:t>
      </w:r>
      <w:r w:rsidR="005D4DAA" w:rsidRPr="005D4DAA">
        <w:rPr>
          <w:rFonts w:cs="Arial"/>
          <w:szCs w:val="20"/>
          <w:lang w:val="fr-FR"/>
        </w:rPr>
        <w:t xml:space="preserve">ne pourront pas éviter d'investir dans des solutions intralogistiques </w:t>
      </w:r>
      <w:r w:rsidR="0009316E">
        <w:rPr>
          <w:rFonts w:cs="Arial"/>
          <w:szCs w:val="20"/>
          <w:lang w:val="fr-FR"/>
        </w:rPr>
        <w:t>de pointe</w:t>
      </w:r>
      <w:r w:rsidR="005D4DAA" w:rsidRPr="005D4DAA">
        <w:rPr>
          <w:rFonts w:cs="Arial"/>
          <w:szCs w:val="20"/>
          <w:lang w:val="fr-FR"/>
        </w:rPr>
        <w:t xml:space="preserve"> dans les années à venir. Ce</w:t>
      </w:r>
      <w:r w:rsidR="0009316E">
        <w:rPr>
          <w:rFonts w:cs="Arial"/>
          <w:szCs w:val="20"/>
          <w:lang w:val="fr-FR"/>
        </w:rPr>
        <w:t xml:space="preserve"> fut la quintessence des premier</w:t>
      </w:r>
      <w:r w:rsidR="005D4DAA" w:rsidRPr="005D4DAA">
        <w:rPr>
          <w:rFonts w:cs="Arial"/>
          <w:szCs w:val="20"/>
          <w:lang w:val="fr-FR"/>
        </w:rPr>
        <w:t>s "Fashion Expert Days" du spécialiste de l'intralogistique TGW Logistics Group.</w:t>
      </w:r>
    </w:p>
    <w:p w:rsidR="005D4DAA" w:rsidRPr="005D4DAA" w:rsidRDefault="005D4DAA" w:rsidP="005D4DAA">
      <w:pPr>
        <w:rPr>
          <w:rFonts w:cs="Arial"/>
          <w:szCs w:val="20"/>
          <w:lang w:val="fr-FR"/>
        </w:rPr>
      </w:pPr>
    </w:p>
    <w:p w:rsidR="005D4DAA" w:rsidRPr="005D4DAA" w:rsidRDefault="005D4DAA" w:rsidP="005D4DAA">
      <w:pPr>
        <w:rPr>
          <w:rFonts w:cs="Arial"/>
          <w:szCs w:val="20"/>
          <w:lang w:val="fr-FR"/>
        </w:rPr>
      </w:pPr>
      <w:r w:rsidRPr="005D4DAA">
        <w:rPr>
          <w:rFonts w:cs="Arial"/>
          <w:szCs w:val="20"/>
          <w:lang w:val="fr-FR"/>
        </w:rPr>
        <w:t xml:space="preserve">Plus de 120 experts de la mode - dont des représentants de GAP, Puma et Urban Outfitters - ont répondu </w:t>
      </w:r>
      <w:r w:rsidR="0009316E">
        <w:rPr>
          <w:rFonts w:cs="Arial"/>
          <w:szCs w:val="20"/>
          <w:lang w:val="fr-FR"/>
        </w:rPr>
        <w:t xml:space="preserve">présents </w:t>
      </w:r>
      <w:r w:rsidRPr="005D4DAA">
        <w:rPr>
          <w:rFonts w:cs="Arial"/>
          <w:szCs w:val="20"/>
          <w:lang w:val="fr-FR"/>
        </w:rPr>
        <w:t xml:space="preserve">à l'invitation </w:t>
      </w:r>
      <w:r w:rsidR="0009316E">
        <w:rPr>
          <w:rFonts w:cs="Arial"/>
          <w:szCs w:val="20"/>
          <w:lang w:val="fr-FR"/>
        </w:rPr>
        <w:t xml:space="preserve">de TGW les 9 et 10 octobre au siège </w:t>
      </w:r>
      <w:r w:rsidRPr="005D4DAA">
        <w:rPr>
          <w:rFonts w:cs="Arial"/>
          <w:szCs w:val="20"/>
          <w:lang w:val="fr-FR"/>
        </w:rPr>
        <w:t xml:space="preserve">Evolution Park à Marchtrenk (Haute Autriche). Ils y ont discuté des tendances et des défis logistiques dans l'industrie </w:t>
      </w:r>
      <w:r w:rsidR="00D649D9">
        <w:rPr>
          <w:rFonts w:cs="Arial"/>
          <w:szCs w:val="20"/>
          <w:lang w:val="fr-FR"/>
        </w:rPr>
        <w:t>textile</w:t>
      </w:r>
      <w:r w:rsidRPr="005D4DAA">
        <w:rPr>
          <w:rFonts w:cs="Arial"/>
          <w:szCs w:val="20"/>
          <w:lang w:val="fr-FR"/>
        </w:rPr>
        <w:t xml:space="preserve"> avec des scientifiques, des fournisseurs de solutions et des représentants de grandes marques de mode. Les invités venus d'Europe, d'Asie et des Etats-Unis ont également pu découvrir </w:t>
      </w:r>
      <w:r>
        <w:rPr>
          <w:rFonts w:cs="Arial"/>
          <w:szCs w:val="20"/>
          <w:lang w:val="fr-FR"/>
        </w:rPr>
        <w:t>le showroom</w:t>
      </w:r>
      <w:r w:rsidRPr="00CE1EE1">
        <w:rPr>
          <w:rFonts w:cs="Arial"/>
          <w:szCs w:val="20"/>
          <w:lang w:val="fr-FR"/>
        </w:rPr>
        <w:t xml:space="preserve"> interacti</w:t>
      </w:r>
      <w:r>
        <w:rPr>
          <w:rFonts w:cs="Arial"/>
          <w:szCs w:val="20"/>
          <w:lang w:val="fr-FR"/>
        </w:rPr>
        <w:t>f</w:t>
      </w:r>
      <w:r w:rsidRPr="00CE1EE1">
        <w:rPr>
          <w:rFonts w:cs="Arial"/>
          <w:szCs w:val="20"/>
          <w:lang w:val="fr-FR"/>
        </w:rPr>
        <w:t xml:space="preserve"> Helix</w:t>
      </w:r>
      <w:r w:rsidRPr="005D4DAA">
        <w:rPr>
          <w:rFonts w:cs="Arial"/>
          <w:szCs w:val="20"/>
          <w:lang w:val="fr-FR"/>
        </w:rPr>
        <w:t xml:space="preserve"> et le siège moderne de TGW. </w:t>
      </w:r>
    </w:p>
    <w:p w:rsidR="005D4DAA" w:rsidRPr="005D4DAA" w:rsidRDefault="005D4DAA" w:rsidP="005D4DAA">
      <w:pPr>
        <w:rPr>
          <w:rFonts w:cs="Arial"/>
          <w:szCs w:val="20"/>
          <w:lang w:val="fr-FR"/>
        </w:rPr>
      </w:pPr>
    </w:p>
    <w:p w:rsidR="00CE1EE1" w:rsidRPr="00036F7E" w:rsidRDefault="00CE1EE1" w:rsidP="00CE1EE1">
      <w:pPr>
        <w:rPr>
          <w:rFonts w:cs="Arial"/>
          <w:b/>
          <w:szCs w:val="20"/>
          <w:lang w:val="fr-FR"/>
        </w:rPr>
      </w:pPr>
      <w:r w:rsidRPr="00036F7E">
        <w:rPr>
          <w:rFonts w:cs="Arial"/>
          <w:b/>
          <w:szCs w:val="20"/>
          <w:lang w:val="fr-FR"/>
        </w:rPr>
        <w:t>Des niveaux de service plus élevés</w:t>
      </w:r>
      <w:r w:rsidR="005D4DAA">
        <w:rPr>
          <w:rFonts w:cs="Arial"/>
          <w:b/>
          <w:szCs w:val="20"/>
          <w:lang w:val="fr-FR"/>
        </w:rPr>
        <w:t>,</w:t>
      </w:r>
      <w:r w:rsidRPr="00036F7E">
        <w:rPr>
          <w:rFonts w:cs="Arial"/>
          <w:b/>
          <w:szCs w:val="20"/>
          <w:lang w:val="fr-FR"/>
        </w:rPr>
        <w:t xml:space="preserve"> moteurs de l'intralogistique</w:t>
      </w:r>
    </w:p>
    <w:p w:rsidR="00CE1EE1" w:rsidRPr="00CE1EE1" w:rsidRDefault="00CE1EE1" w:rsidP="00CE1EE1">
      <w:pPr>
        <w:rPr>
          <w:rFonts w:cs="Arial"/>
          <w:szCs w:val="20"/>
          <w:lang w:val="fr-FR"/>
        </w:rPr>
      </w:pPr>
    </w:p>
    <w:p w:rsidR="005D4DAA" w:rsidRPr="005D4DAA" w:rsidRDefault="005D4DAA" w:rsidP="005D4DAA">
      <w:pPr>
        <w:rPr>
          <w:rFonts w:cs="Arial"/>
          <w:szCs w:val="20"/>
          <w:lang w:val="fr-FR"/>
        </w:rPr>
      </w:pPr>
      <w:r w:rsidRPr="005D4DAA">
        <w:rPr>
          <w:rFonts w:cs="Arial"/>
          <w:szCs w:val="20"/>
          <w:lang w:val="fr-FR"/>
        </w:rPr>
        <w:t xml:space="preserve">Les experts de la </w:t>
      </w:r>
      <w:r w:rsidR="0009316E">
        <w:rPr>
          <w:rFonts w:cs="Arial"/>
          <w:szCs w:val="20"/>
          <w:lang w:val="fr-FR"/>
        </w:rPr>
        <w:t>supply chain</w:t>
      </w:r>
      <w:r w:rsidRPr="005D4DAA">
        <w:rPr>
          <w:rFonts w:cs="Arial"/>
          <w:szCs w:val="20"/>
          <w:lang w:val="fr-FR"/>
        </w:rPr>
        <w:t xml:space="preserve"> de Puma, GAP et Urban Outfitters ont unanimement souligné </w:t>
      </w:r>
      <w:r w:rsidR="00D649D9">
        <w:rPr>
          <w:rFonts w:cs="Arial"/>
          <w:szCs w:val="20"/>
          <w:lang w:val="fr-FR"/>
        </w:rPr>
        <w:t xml:space="preserve">que </w:t>
      </w:r>
      <w:r w:rsidR="0039626E">
        <w:rPr>
          <w:rFonts w:cs="Arial"/>
          <w:szCs w:val="20"/>
          <w:lang w:val="fr-FR"/>
        </w:rPr>
        <w:t xml:space="preserve">les </w:t>
      </w:r>
      <w:r w:rsidR="0009316E" w:rsidRPr="005D4DAA">
        <w:rPr>
          <w:rFonts w:cs="Arial"/>
          <w:szCs w:val="20"/>
          <w:lang w:val="fr-FR"/>
        </w:rPr>
        <w:t xml:space="preserve">principaux moteurs des projets d'automatisation dans leurs entreprises </w:t>
      </w:r>
      <w:r w:rsidR="0009316E">
        <w:rPr>
          <w:rFonts w:cs="Arial"/>
          <w:szCs w:val="20"/>
          <w:lang w:val="fr-FR"/>
        </w:rPr>
        <w:t xml:space="preserve">sont </w:t>
      </w:r>
      <w:r w:rsidRPr="005D4DAA">
        <w:rPr>
          <w:rFonts w:cs="Arial"/>
          <w:szCs w:val="20"/>
          <w:lang w:val="fr-FR"/>
        </w:rPr>
        <w:t>l'</w:t>
      </w:r>
      <w:r w:rsidR="0039626E">
        <w:rPr>
          <w:rFonts w:cs="Arial"/>
          <w:szCs w:val="20"/>
          <w:lang w:val="fr-FR"/>
        </w:rPr>
        <w:t>atteinte des</w:t>
      </w:r>
      <w:r w:rsidRPr="005D4DAA">
        <w:rPr>
          <w:rFonts w:cs="Arial"/>
          <w:szCs w:val="20"/>
          <w:lang w:val="fr-FR"/>
        </w:rPr>
        <w:t xml:space="preserve"> attentes </w:t>
      </w:r>
      <w:r w:rsidR="0039626E">
        <w:rPr>
          <w:rFonts w:cs="Arial"/>
          <w:szCs w:val="20"/>
          <w:lang w:val="fr-FR"/>
        </w:rPr>
        <w:t xml:space="preserve">toujours plus élevées </w:t>
      </w:r>
      <w:r w:rsidRPr="005D4DAA">
        <w:rPr>
          <w:rFonts w:cs="Arial"/>
          <w:szCs w:val="20"/>
          <w:lang w:val="fr-FR"/>
        </w:rPr>
        <w:t xml:space="preserve">des clients et </w:t>
      </w:r>
      <w:r w:rsidR="0009316E">
        <w:rPr>
          <w:rFonts w:cs="Arial"/>
          <w:szCs w:val="20"/>
          <w:lang w:val="fr-FR"/>
        </w:rPr>
        <w:t xml:space="preserve">la </w:t>
      </w:r>
      <w:r w:rsidRPr="005D4DAA">
        <w:rPr>
          <w:rFonts w:cs="Arial"/>
          <w:szCs w:val="20"/>
          <w:lang w:val="fr-FR"/>
        </w:rPr>
        <w:t xml:space="preserve">pénurie de </w:t>
      </w:r>
      <w:r w:rsidR="0009316E">
        <w:rPr>
          <w:rFonts w:cs="Arial"/>
          <w:szCs w:val="20"/>
          <w:lang w:val="fr-FR"/>
        </w:rPr>
        <w:t>main d’</w:t>
      </w:r>
      <w:r w:rsidR="0039626E">
        <w:rPr>
          <w:rFonts w:cs="Arial"/>
          <w:szCs w:val="20"/>
          <w:lang w:val="fr-FR"/>
        </w:rPr>
        <w:t>œuvre</w:t>
      </w:r>
      <w:r w:rsidRPr="005D4DAA">
        <w:rPr>
          <w:rFonts w:cs="Arial"/>
          <w:szCs w:val="20"/>
          <w:lang w:val="fr-FR"/>
        </w:rPr>
        <w:t xml:space="preserve">. Ceci a également été confirmé par une enquête rapide </w:t>
      </w:r>
      <w:r w:rsidR="0039626E">
        <w:rPr>
          <w:rFonts w:cs="Arial"/>
          <w:szCs w:val="20"/>
          <w:lang w:val="fr-FR"/>
        </w:rPr>
        <w:t xml:space="preserve">sur place </w:t>
      </w:r>
      <w:r w:rsidRPr="005D4DAA">
        <w:rPr>
          <w:rFonts w:cs="Arial"/>
          <w:szCs w:val="20"/>
          <w:lang w:val="fr-FR"/>
        </w:rPr>
        <w:t>auprès des visiteurs</w:t>
      </w:r>
      <w:r w:rsidR="00D649D9">
        <w:rPr>
          <w:rFonts w:cs="Arial"/>
          <w:szCs w:val="20"/>
          <w:lang w:val="fr-FR"/>
        </w:rPr>
        <w:t xml:space="preserve"> </w:t>
      </w:r>
      <w:r w:rsidRPr="005D4DAA">
        <w:rPr>
          <w:rFonts w:cs="Arial"/>
          <w:szCs w:val="20"/>
          <w:lang w:val="fr-FR"/>
        </w:rPr>
        <w:t xml:space="preserve">: Selon le sondage, 100 % des répondants s'attendent à ce que le niveau de service augmente au cours des cinq prochaines années à tel point que les livraisons le jour même ou le lendemain deviendront la norme dans l'industrie. La majorité des personnes interrogées s'appuient sur des solutions hautement automatisées pour relever ces défis. </w:t>
      </w:r>
    </w:p>
    <w:p w:rsidR="005D4DAA" w:rsidRPr="005D4DAA" w:rsidRDefault="005D4DAA" w:rsidP="005D4DAA">
      <w:pPr>
        <w:rPr>
          <w:rFonts w:cs="Arial"/>
          <w:szCs w:val="20"/>
          <w:lang w:val="fr-FR"/>
        </w:rPr>
      </w:pPr>
    </w:p>
    <w:p w:rsidR="00CE1EE1" w:rsidRPr="0009316E" w:rsidRDefault="0009316E" w:rsidP="00CE1EE1">
      <w:pPr>
        <w:rPr>
          <w:rFonts w:cs="Arial"/>
          <w:b/>
          <w:szCs w:val="20"/>
          <w:lang w:val="fr-FR"/>
        </w:rPr>
      </w:pPr>
      <w:r>
        <w:rPr>
          <w:rFonts w:cs="Arial"/>
          <w:b/>
          <w:szCs w:val="20"/>
          <w:lang w:val="fr-FR"/>
        </w:rPr>
        <w:t xml:space="preserve">Des </w:t>
      </w:r>
      <w:r w:rsidR="00C94CA3">
        <w:rPr>
          <w:rFonts w:cs="Arial"/>
          <w:b/>
          <w:szCs w:val="20"/>
          <w:lang w:val="fr-FR"/>
        </w:rPr>
        <w:t>modèles économiques</w:t>
      </w:r>
      <w:r>
        <w:rPr>
          <w:rFonts w:cs="Arial"/>
          <w:b/>
          <w:szCs w:val="20"/>
          <w:lang w:val="fr-FR"/>
        </w:rPr>
        <w:t xml:space="preserve"> en mutation</w:t>
      </w:r>
    </w:p>
    <w:p w:rsidR="00CE1EE1" w:rsidRPr="00CE1EE1" w:rsidRDefault="00CE1EE1" w:rsidP="00CE1EE1">
      <w:pPr>
        <w:rPr>
          <w:rFonts w:cs="Arial"/>
          <w:szCs w:val="20"/>
          <w:lang w:val="fr-FR"/>
        </w:rPr>
      </w:pPr>
    </w:p>
    <w:p w:rsidR="00CE1EE1" w:rsidRPr="00CE1EE1" w:rsidRDefault="00D649D9" w:rsidP="00CE1EE1">
      <w:pPr>
        <w:rPr>
          <w:rFonts w:cs="Arial"/>
          <w:szCs w:val="20"/>
          <w:lang w:val="fr-FR"/>
        </w:rPr>
      </w:pPr>
      <w:r>
        <w:rPr>
          <w:rFonts w:cs="Arial"/>
          <w:szCs w:val="20"/>
          <w:lang w:val="fr-FR"/>
        </w:rPr>
        <w:t xml:space="preserve">Concernant </w:t>
      </w:r>
      <w:r w:rsidR="0009316E" w:rsidRPr="0009316E">
        <w:rPr>
          <w:rFonts w:cs="Arial"/>
          <w:szCs w:val="20"/>
          <w:lang w:val="fr-FR"/>
        </w:rPr>
        <w:t>la demande imprévisible, Franziskos Kyriakopoulos, PDG de 7LYTIX, a souligné que les méthodes d'analyse de données</w:t>
      </w:r>
      <w:r w:rsidR="0039626E">
        <w:rPr>
          <w:rFonts w:cs="Arial"/>
          <w:szCs w:val="20"/>
          <w:lang w:val="fr-FR"/>
        </w:rPr>
        <w:t xml:space="preserve"> (big data)</w:t>
      </w:r>
      <w:r w:rsidR="0009316E" w:rsidRPr="0009316E">
        <w:rPr>
          <w:rFonts w:cs="Arial"/>
          <w:szCs w:val="20"/>
          <w:lang w:val="fr-FR"/>
        </w:rPr>
        <w:t xml:space="preserve"> et d'analyse prédictive peuvent être </w:t>
      </w:r>
      <w:r w:rsidR="0039626E">
        <w:rPr>
          <w:rFonts w:cs="Arial"/>
          <w:szCs w:val="20"/>
          <w:lang w:val="fr-FR"/>
        </w:rPr>
        <w:t xml:space="preserve">de bons outils </w:t>
      </w:r>
      <w:r w:rsidR="0009316E" w:rsidRPr="0009316E">
        <w:rPr>
          <w:rFonts w:cs="Arial"/>
          <w:szCs w:val="20"/>
          <w:lang w:val="fr-FR"/>
        </w:rPr>
        <w:t xml:space="preserve"> pour des scénarios de planification à court terme. Toutefois, les prévisions à moyen ou très long terme sont inexactes, car elles reposent sur des données historiques et sont difficiles à mettre à jour. Alors, comment se développeront les relations entre le commerce de détail, le commerce de gros et le commerce électronique à l'avenir ?</w:t>
      </w:r>
    </w:p>
    <w:p w:rsidR="00CE1EE1" w:rsidRPr="00CE1EE1" w:rsidRDefault="00CE1EE1" w:rsidP="00CE1EE1">
      <w:pPr>
        <w:rPr>
          <w:rFonts w:cs="Arial"/>
          <w:szCs w:val="20"/>
          <w:lang w:val="fr-FR"/>
        </w:rPr>
      </w:pPr>
    </w:p>
    <w:p w:rsidR="008072D1" w:rsidRDefault="0009316E" w:rsidP="0009316E">
      <w:pPr>
        <w:rPr>
          <w:rFonts w:cs="Arial"/>
          <w:szCs w:val="20"/>
          <w:lang w:val="fr-FR"/>
        </w:rPr>
      </w:pPr>
      <w:r w:rsidRPr="0009316E">
        <w:rPr>
          <w:rFonts w:cs="Arial"/>
          <w:szCs w:val="20"/>
          <w:lang w:val="fr-FR"/>
        </w:rPr>
        <w:t>Raffaele Destro, directeur de</w:t>
      </w:r>
      <w:r w:rsidR="00D649D9">
        <w:rPr>
          <w:rFonts w:cs="Arial"/>
          <w:szCs w:val="20"/>
          <w:lang w:val="fr-FR"/>
        </w:rPr>
        <w:t xml:space="preserve">s solutions </w:t>
      </w:r>
      <w:r w:rsidRPr="0009316E">
        <w:rPr>
          <w:rFonts w:cs="Arial"/>
          <w:szCs w:val="20"/>
          <w:lang w:val="fr-FR"/>
        </w:rPr>
        <w:t>d</w:t>
      </w:r>
      <w:r w:rsidR="00D649D9">
        <w:rPr>
          <w:rFonts w:cs="Arial"/>
          <w:szCs w:val="20"/>
          <w:lang w:val="fr-FR"/>
        </w:rPr>
        <w:t>édié</w:t>
      </w:r>
      <w:r w:rsidRPr="0009316E">
        <w:rPr>
          <w:rFonts w:cs="Arial"/>
          <w:szCs w:val="20"/>
          <w:lang w:val="fr-FR"/>
        </w:rPr>
        <w:t>e</w:t>
      </w:r>
      <w:r w:rsidR="00D649D9">
        <w:rPr>
          <w:rFonts w:cs="Arial"/>
          <w:szCs w:val="20"/>
          <w:lang w:val="fr-FR"/>
        </w:rPr>
        <w:t>s</w:t>
      </w:r>
      <w:r w:rsidRPr="0009316E">
        <w:rPr>
          <w:rFonts w:cs="Arial"/>
          <w:szCs w:val="20"/>
          <w:lang w:val="fr-FR"/>
        </w:rPr>
        <w:t xml:space="preserve"> </w:t>
      </w:r>
      <w:r w:rsidR="00D649D9">
        <w:rPr>
          <w:rFonts w:cs="Arial"/>
          <w:szCs w:val="20"/>
          <w:lang w:val="fr-FR"/>
        </w:rPr>
        <w:t xml:space="preserve">à </w:t>
      </w:r>
      <w:r w:rsidRPr="0009316E">
        <w:rPr>
          <w:rFonts w:cs="Arial"/>
          <w:szCs w:val="20"/>
          <w:lang w:val="fr-FR"/>
        </w:rPr>
        <w:t xml:space="preserve">la mode </w:t>
      </w:r>
      <w:r w:rsidR="00D649D9">
        <w:rPr>
          <w:rFonts w:cs="Arial"/>
          <w:szCs w:val="20"/>
          <w:lang w:val="fr-FR"/>
        </w:rPr>
        <w:t xml:space="preserve">et au textile </w:t>
      </w:r>
      <w:r w:rsidRPr="0009316E">
        <w:rPr>
          <w:rFonts w:cs="Arial"/>
          <w:szCs w:val="20"/>
          <w:lang w:val="fr-FR"/>
        </w:rPr>
        <w:t xml:space="preserve">chez TGW, a également </w:t>
      </w:r>
      <w:r w:rsidR="00D649D9">
        <w:rPr>
          <w:rFonts w:cs="Arial"/>
          <w:szCs w:val="20"/>
          <w:lang w:val="fr-FR"/>
        </w:rPr>
        <w:t>pointé cette difficulté</w:t>
      </w:r>
      <w:r w:rsidRPr="0009316E">
        <w:rPr>
          <w:rFonts w:cs="Arial"/>
          <w:szCs w:val="20"/>
          <w:lang w:val="fr-FR"/>
        </w:rPr>
        <w:t xml:space="preserve">. Il a souligné l'importance cruciale de la flexibilité dans la chaîne d'approvisionnement : "Dans le domaine de l'intralogistique, les entreprises doivent être </w:t>
      </w:r>
      <w:r w:rsidR="00D649D9">
        <w:rPr>
          <w:rFonts w:cs="Arial"/>
          <w:szCs w:val="20"/>
          <w:lang w:val="fr-FR"/>
        </w:rPr>
        <w:t xml:space="preserve">à même de s’adapter </w:t>
      </w:r>
      <w:r w:rsidRPr="0009316E">
        <w:rPr>
          <w:rFonts w:cs="Arial"/>
          <w:szCs w:val="20"/>
          <w:lang w:val="fr-FR"/>
        </w:rPr>
        <w:t xml:space="preserve">à des </w:t>
      </w:r>
      <w:r w:rsidR="008072D1">
        <w:rPr>
          <w:rFonts w:cs="Arial"/>
          <w:szCs w:val="20"/>
          <w:lang w:val="fr-FR"/>
        </w:rPr>
        <w:t>business models différents</w:t>
      </w:r>
      <w:r w:rsidRPr="0009316E">
        <w:rPr>
          <w:rFonts w:cs="Arial"/>
          <w:szCs w:val="20"/>
          <w:lang w:val="fr-FR"/>
        </w:rPr>
        <w:t xml:space="preserve">, </w:t>
      </w:r>
      <w:r w:rsidR="008072D1">
        <w:rPr>
          <w:rFonts w:cs="Arial"/>
          <w:szCs w:val="20"/>
          <w:lang w:val="fr-FR"/>
        </w:rPr>
        <w:t>d</w:t>
      </w:r>
      <w:r w:rsidRPr="0009316E">
        <w:rPr>
          <w:rFonts w:cs="Arial"/>
          <w:szCs w:val="20"/>
          <w:lang w:val="fr-FR"/>
        </w:rPr>
        <w:t xml:space="preserve">es </w:t>
      </w:r>
      <w:r w:rsidR="00D649D9">
        <w:rPr>
          <w:rFonts w:cs="Arial"/>
          <w:szCs w:val="20"/>
          <w:lang w:val="fr-FR"/>
        </w:rPr>
        <w:t xml:space="preserve">canaux de distribution changeants </w:t>
      </w:r>
      <w:r w:rsidR="008072D1">
        <w:rPr>
          <w:rFonts w:cs="Arial"/>
          <w:szCs w:val="20"/>
          <w:lang w:val="fr-FR"/>
        </w:rPr>
        <w:t xml:space="preserve">ou encore des </w:t>
      </w:r>
      <w:r w:rsidRPr="0009316E">
        <w:rPr>
          <w:rFonts w:cs="Arial"/>
          <w:szCs w:val="20"/>
          <w:lang w:val="fr-FR"/>
        </w:rPr>
        <w:t xml:space="preserve">structures </w:t>
      </w:r>
      <w:r w:rsidR="008072D1">
        <w:rPr>
          <w:rFonts w:cs="Arial"/>
          <w:szCs w:val="20"/>
          <w:lang w:val="fr-FR"/>
        </w:rPr>
        <w:t>de commandes mouvantes. La clé réside dans la flexibilité et l’agilité du système intralogistique pour répondre à la fois à l’</w:t>
      </w:r>
      <w:r w:rsidRPr="0009316E">
        <w:rPr>
          <w:rFonts w:cs="Arial"/>
          <w:szCs w:val="20"/>
          <w:lang w:val="fr-FR"/>
        </w:rPr>
        <w:t>e</w:t>
      </w:r>
      <w:r w:rsidR="008072D1">
        <w:rPr>
          <w:rFonts w:cs="Arial"/>
          <w:szCs w:val="20"/>
          <w:lang w:val="fr-FR"/>
        </w:rPr>
        <w:t>-</w:t>
      </w:r>
      <w:r w:rsidRPr="0009316E">
        <w:rPr>
          <w:rFonts w:cs="Arial"/>
          <w:szCs w:val="20"/>
          <w:lang w:val="fr-FR"/>
        </w:rPr>
        <w:t xml:space="preserve">commerce </w:t>
      </w:r>
      <w:r w:rsidR="008072D1">
        <w:rPr>
          <w:rFonts w:cs="Arial"/>
          <w:szCs w:val="20"/>
          <w:lang w:val="fr-FR"/>
        </w:rPr>
        <w:t xml:space="preserve">et au commerce </w:t>
      </w:r>
      <w:r w:rsidRPr="0009316E">
        <w:rPr>
          <w:rFonts w:cs="Arial"/>
          <w:szCs w:val="20"/>
          <w:lang w:val="fr-FR"/>
        </w:rPr>
        <w:t>de détail</w:t>
      </w:r>
      <w:r w:rsidR="008072D1">
        <w:rPr>
          <w:rFonts w:cs="Arial"/>
          <w:szCs w:val="20"/>
          <w:lang w:val="fr-FR"/>
        </w:rPr>
        <w:t>.</w:t>
      </w:r>
    </w:p>
    <w:p w:rsidR="0009316E" w:rsidRPr="0009316E" w:rsidRDefault="0009316E" w:rsidP="0009316E">
      <w:pPr>
        <w:rPr>
          <w:rFonts w:cs="Arial"/>
          <w:szCs w:val="20"/>
          <w:lang w:val="fr-FR"/>
        </w:rPr>
      </w:pPr>
      <w:r w:rsidRPr="0009316E">
        <w:rPr>
          <w:rFonts w:cs="Arial"/>
          <w:szCs w:val="20"/>
          <w:lang w:val="fr-FR"/>
        </w:rPr>
        <w:t xml:space="preserve"> </w:t>
      </w:r>
    </w:p>
    <w:p w:rsidR="00CE1EE1" w:rsidRDefault="0009316E" w:rsidP="0009316E">
      <w:pPr>
        <w:rPr>
          <w:rFonts w:cs="Arial"/>
          <w:szCs w:val="20"/>
          <w:lang w:val="fr-FR"/>
        </w:rPr>
      </w:pPr>
      <w:r w:rsidRPr="0009316E">
        <w:rPr>
          <w:rFonts w:cs="Arial"/>
          <w:szCs w:val="20"/>
          <w:lang w:val="fr-FR"/>
        </w:rPr>
        <w:t xml:space="preserve">Pour préparer les entreprises à l'avenir, TGW propose des systèmes hautement automatisés. FlashPick® (pour le </w:t>
      </w:r>
      <w:r w:rsidR="008072D1">
        <w:rPr>
          <w:rFonts w:cs="Arial"/>
          <w:szCs w:val="20"/>
          <w:lang w:val="fr-FR"/>
        </w:rPr>
        <w:t>picking</w:t>
      </w:r>
      <w:r w:rsidRPr="0009316E">
        <w:rPr>
          <w:rFonts w:cs="Arial"/>
          <w:szCs w:val="20"/>
          <w:lang w:val="fr-FR"/>
        </w:rPr>
        <w:t xml:space="preserve"> automatisé d</w:t>
      </w:r>
      <w:r w:rsidR="008072D1">
        <w:rPr>
          <w:rFonts w:cs="Arial"/>
          <w:szCs w:val="20"/>
          <w:lang w:val="fr-FR"/>
        </w:rPr>
        <w:t>e détail</w:t>
      </w:r>
      <w:r w:rsidRPr="0009316E">
        <w:rPr>
          <w:rFonts w:cs="Arial"/>
          <w:szCs w:val="20"/>
          <w:lang w:val="fr-FR"/>
        </w:rPr>
        <w:t>) et l</w:t>
      </w:r>
      <w:r w:rsidR="008072D1">
        <w:rPr>
          <w:rFonts w:cs="Arial"/>
          <w:szCs w:val="20"/>
          <w:lang w:val="fr-FR"/>
        </w:rPr>
        <w:t>e trieur à pochettes</w:t>
      </w:r>
      <w:r w:rsidRPr="0009316E">
        <w:rPr>
          <w:rFonts w:cs="Arial"/>
          <w:szCs w:val="20"/>
          <w:lang w:val="fr-FR"/>
        </w:rPr>
        <w:t xml:space="preserve"> OmniPick sont au cœur des solutions </w:t>
      </w:r>
      <w:r w:rsidR="0039626E" w:rsidRPr="0009316E">
        <w:rPr>
          <w:rFonts w:cs="Arial"/>
          <w:szCs w:val="20"/>
          <w:lang w:val="fr-FR"/>
        </w:rPr>
        <w:t xml:space="preserve">standardisées </w:t>
      </w:r>
      <w:r w:rsidR="008072D1">
        <w:rPr>
          <w:rFonts w:cs="Arial"/>
          <w:szCs w:val="20"/>
          <w:lang w:val="fr-FR"/>
        </w:rPr>
        <w:t>dédiées à la</w:t>
      </w:r>
      <w:r w:rsidRPr="0009316E">
        <w:rPr>
          <w:rFonts w:cs="Arial"/>
          <w:szCs w:val="20"/>
          <w:lang w:val="fr-FR"/>
        </w:rPr>
        <w:t xml:space="preserve"> mode de TGW : grâce à leur modularité et</w:t>
      </w:r>
      <w:r w:rsidR="008072D1">
        <w:rPr>
          <w:rFonts w:cs="Arial"/>
          <w:szCs w:val="20"/>
          <w:lang w:val="fr-FR"/>
        </w:rPr>
        <w:t xml:space="preserve"> à</w:t>
      </w:r>
      <w:r w:rsidRPr="0009316E">
        <w:rPr>
          <w:rFonts w:cs="Arial"/>
          <w:szCs w:val="20"/>
          <w:lang w:val="fr-FR"/>
        </w:rPr>
        <w:t xml:space="preserve"> leur flexibilité, elles sont adaptées à toutes les exigences des clients. "Les deux solutions ont été conçues pour fonctionner indépendamment de chaque canal de distribution. Par conséquent, FlashPick® et OmniPick couvrent facilement n'importe quelle combinaison de commerce de détail, de gros et de commerce électronique ", explique M. Destro.</w:t>
      </w:r>
    </w:p>
    <w:p w:rsidR="0009316E" w:rsidRPr="00CE1EE1" w:rsidRDefault="0009316E" w:rsidP="0009316E">
      <w:pPr>
        <w:rPr>
          <w:rFonts w:cs="Arial"/>
          <w:szCs w:val="20"/>
          <w:lang w:val="fr-FR"/>
        </w:rPr>
      </w:pPr>
    </w:p>
    <w:p w:rsidR="00CE1EE1" w:rsidRPr="0009316E" w:rsidRDefault="0009316E" w:rsidP="00CE1EE1">
      <w:pPr>
        <w:rPr>
          <w:rFonts w:cs="Arial"/>
          <w:b/>
          <w:szCs w:val="20"/>
          <w:lang w:val="fr-FR"/>
        </w:rPr>
      </w:pPr>
      <w:r w:rsidRPr="0009316E">
        <w:rPr>
          <w:rFonts w:cs="Arial"/>
          <w:b/>
          <w:szCs w:val="20"/>
          <w:lang w:val="fr-FR"/>
        </w:rPr>
        <w:t>L’</w:t>
      </w:r>
      <w:r w:rsidR="00CE1EE1" w:rsidRPr="0009316E">
        <w:rPr>
          <w:rFonts w:cs="Arial"/>
          <w:b/>
          <w:szCs w:val="20"/>
          <w:lang w:val="fr-FR"/>
        </w:rPr>
        <w:t>Intelligence artificielle</w:t>
      </w:r>
    </w:p>
    <w:p w:rsidR="00CE1EE1" w:rsidRPr="00CE1EE1" w:rsidRDefault="00CE1EE1" w:rsidP="00CE1EE1">
      <w:pPr>
        <w:rPr>
          <w:rFonts w:cs="Arial"/>
          <w:szCs w:val="20"/>
          <w:lang w:val="fr-FR"/>
        </w:rPr>
      </w:pPr>
    </w:p>
    <w:p w:rsidR="00CE1EE1" w:rsidRPr="00CE1EE1" w:rsidRDefault="00CE1EE1" w:rsidP="00CE1EE1">
      <w:pPr>
        <w:rPr>
          <w:rFonts w:cs="Arial"/>
          <w:szCs w:val="20"/>
          <w:lang w:val="fr-FR"/>
        </w:rPr>
      </w:pPr>
      <w:r w:rsidRPr="00CE1EE1">
        <w:rPr>
          <w:rFonts w:cs="Arial"/>
          <w:szCs w:val="20"/>
          <w:lang w:val="fr-FR"/>
        </w:rPr>
        <w:t xml:space="preserve">Maximilian Beinhofer, responsable du développement des systèmes cognitifs chez TGW, a montré à quel point le développement d'OmniPick a progressé. Grâce à l'intelligence artificielle, TGW a développé Rovolution, un robot intelligent qui prélève les marchandises d'un </w:t>
      </w:r>
      <w:r w:rsidR="0039626E">
        <w:rPr>
          <w:rFonts w:cs="Arial"/>
          <w:szCs w:val="20"/>
          <w:lang w:val="fr-FR"/>
        </w:rPr>
        <w:t>bac source</w:t>
      </w:r>
      <w:r w:rsidRPr="00CE1EE1">
        <w:rPr>
          <w:rFonts w:cs="Arial"/>
          <w:szCs w:val="20"/>
          <w:lang w:val="fr-FR"/>
        </w:rPr>
        <w:t xml:space="preserve"> et les place automatiquement dans un carton </w:t>
      </w:r>
      <w:r w:rsidR="00F55D6B" w:rsidRPr="00CE1EE1">
        <w:rPr>
          <w:rFonts w:cs="Arial"/>
          <w:szCs w:val="20"/>
          <w:lang w:val="fr-FR"/>
        </w:rPr>
        <w:t>ou un bac</w:t>
      </w:r>
      <w:r w:rsidR="00F55D6B" w:rsidRPr="00CE1EE1">
        <w:rPr>
          <w:rFonts w:cs="Arial"/>
          <w:szCs w:val="20"/>
          <w:lang w:val="fr-FR"/>
        </w:rPr>
        <w:t xml:space="preserve"> </w:t>
      </w:r>
      <w:r w:rsidRPr="00CE1EE1">
        <w:rPr>
          <w:rFonts w:cs="Arial"/>
          <w:szCs w:val="20"/>
          <w:lang w:val="fr-FR"/>
        </w:rPr>
        <w:t>de commande (FlashPick®) ou alimente une station d'induction automatique pour poche</w:t>
      </w:r>
      <w:r w:rsidR="0039626E">
        <w:rPr>
          <w:rFonts w:cs="Arial"/>
          <w:szCs w:val="20"/>
          <w:lang w:val="fr-FR"/>
        </w:rPr>
        <w:t>ttes</w:t>
      </w:r>
      <w:r w:rsidRPr="00CE1EE1">
        <w:rPr>
          <w:rFonts w:cs="Arial"/>
          <w:szCs w:val="20"/>
          <w:lang w:val="fr-FR"/>
        </w:rPr>
        <w:t xml:space="preserve"> (OmniPick). Combiné au déchargement automatisé des poche</w:t>
      </w:r>
      <w:r w:rsidR="0039626E">
        <w:rPr>
          <w:rFonts w:cs="Arial"/>
          <w:szCs w:val="20"/>
          <w:lang w:val="fr-FR"/>
        </w:rPr>
        <w:t>tte</w:t>
      </w:r>
      <w:r w:rsidRPr="00CE1EE1">
        <w:rPr>
          <w:rFonts w:cs="Arial"/>
          <w:szCs w:val="20"/>
          <w:lang w:val="fr-FR"/>
        </w:rPr>
        <w:t>s, il en résulte un système sans contact, ce qui signifie qu'aucun</w:t>
      </w:r>
      <w:r w:rsidR="0039626E">
        <w:rPr>
          <w:rFonts w:cs="Arial"/>
          <w:szCs w:val="20"/>
          <w:lang w:val="fr-FR"/>
        </w:rPr>
        <w:t>e</w:t>
      </w:r>
      <w:r w:rsidRPr="00CE1EE1">
        <w:rPr>
          <w:rFonts w:cs="Arial"/>
          <w:szCs w:val="20"/>
          <w:lang w:val="fr-FR"/>
        </w:rPr>
        <w:t xml:space="preserve"> interven</w:t>
      </w:r>
      <w:r w:rsidR="0039626E">
        <w:rPr>
          <w:rFonts w:cs="Arial"/>
          <w:szCs w:val="20"/>
          <w:lang w:val="fr-FR"/>
        </w:rPr>
        <w:t>t</w:t>
      </w:r>
      <w:r w:rsidRPr="00CE1EE1">
        <w:rPr>
          <w:rFonts w:cs="Arial"/>
          <w:szCs w:val="20"/>
          <w:lang w:val="fr-FR"/>
        </w:rPr>
        <w:t>i</w:t>
      </w:r>
      <w:r w:rsidR="0039626E">
        <w:rPr>
          <w:rFonts w:cs="Arial"/>
          <w:szCs w:val="20"/>
          <w:lang w:val="fr-FR"/>
        </w:rPr>
        <w:t>on</w:t>
      </w:r>
      <w:r w:rsidRPr="00CE1EE1">
        <w:rPr>
          <w:rFonts w:cs="Arial"/>
          <w:szCs w:val="20"/>
          <w:lang w:val="fr-FR"/>
        </w:rPr>
        <w:t xml:space="preserve"> manuelle</w:t>
      </w:r>
      <w:r w:rsidR="0039626E">
        <w:rPr>
          <w:rFonts w:cs="Arial"/>
          <w:szCs w:val="20"/>
          <w:lang w:val="fr-FR"/>
        </w:rPr>
        <w:t xml:space="preserve"> n’est nécessaire</w:t>
      </w:r>
      <w:r w:rsidRPr="00CE1EE1">
        <w:rPr>
          <w:rFonts w:cs="Arial"/>
          <w:szCs w:val="20"/>
          <w:lang w:val="fr-FR"/>
        </w:rPr>
        <w:t xml:space="preserve"> dans le processus. </w:t>
      </w:r>
    </w:p>
    <w:p w:rsidR="00CE1EE1" w:rsidRPr="00CE1EE1" w:rsidRDefault="00CE1EE1" w:rsidP="00CE1EE1">
      <w:pPr>
        <w:rPr>
          <w:rFonts w:cs="Arial"/>
          <w:szCs w:val="20"/>
          <w:lang w:val="fr-FR"/>
        </w:rPr>
      </w:pPr>
    </w:p>
    <w:p w:rsidR="00CE1EE1" w:rsidRPr="0039626E" w:rsidRDefault="00CE1EE1" w:rsidP="00CE1EE1">
      <w:pPr>
        <w:rPr>
          <w:rFonts w:cs="Arial"/>
          <w:b/>
          <w:szCs w:val="20"/>
          <w:lang w:val="fr-FR"/>
        </w:rPr>
      </w:pPr>
      <w:r w:rsidRPr="0039626E">
        <w:rPr>
          <w:rFonts w:cs="Arial"/>
          <w:b/>
          <w:szCs w:val="20"/>
          <w:lang w:val="fr-FR"/>
        </w:rPr>
        <w:t xml:space="preserve">Modules standardisés, </w:t>
      </w:r>
      <w:r w:rsidR="00F55D6B">
        <w:rPr>
          <w:rFonts w:cs="Arial"/>
          <w:b/>
          <w:szCs w:val="20"/>
          <w:lang w:val="fr-FR"/>
        </w:rPr>
        <w:t>installation</w:t>
      </w:r>
      <w:r w:rsidRPr="0039626E">
        <w:rPr>
          <w:rFonts w:cs="Arial"/>
          <w:b/>
          <w:szCs w:val="20"/>
          <w:lang w:val="fr-FR"/>
        </w:rPr>
        <w:t xml:space="preserve"> rapide</w:t>
      </w:r>
    </w:p>
    <w:p w:rsidR="00CE1EE1" w:rsidRPr="00CE1EE1" w:rsidRDefault="00CE1EE1" w:rsidP="00CE1EE1">
      <w:pPr>
        <w:rPr>
          <w:rFonts w:cs="Arial"/>
          <w:szCs w:val="20"/>
          <w:lang w:val="fr-FR"/>
        </w:rPr>
      </w:pPr>
    </w:p>
    <w:p w:rsidR="00C94CA3" w:rsidRPr="00C94CA3" w:rsidRDefault="00CE1EE1" w:rsidP="00C94CA3">
      <w:pPr>
        <w:rPr>
          <w:rFonts w:cs="Arial"/>
          <w:szCs w:val="20"/>
          <w:lang w:val="fr-FR"/>
        </w:rPr>
      </w:pPr>
      <w:r w:rsidRPr="00CE1EE1">
        <w:rPr>
          <w:rFonts w:cs="Arial"/>
          <w:szCs w:val="20"/>
          <w:lang w:val="fr-FR"/>
        </w:rPr>
        <w:t>Quiconque souhaite automatiser s</w:t>
      </w:r>
      <w:r w:rsidR="00F55D6B">
        <w:rPr>
          <w:rFonts w:cs="Arial"/>
          <w:szCs w:val="20"/>
          <w:lang w:val="fr-FR"/>
        </w:rPr>
        <w:t>on</w:t>
      </w:r>
      <w:r w:rsidRPr="00CE1EE1">
        <w:rPr>
          <w:rFonts w:cs="Arial"/>
          <w:szCs w:val="20"/>
          <w:lang w:val="fr-FR"/>
        </w:rPr>
        <w:t xml:space="preserve"> système doit être prêt à dépenser de l'argent pour cela. C'est tout aussi vrai aujourd'hui qu'il y a cinq ans. Selon TGW, la différence essentielle est que les deux nouvelles solutions d'automatisation de TGW, FlashPick® et OmniPick®, sont constituées de modules standardisés et pré-conçus qui peuvent être rapidement adaptés à différents modèles économiques. "Cela n'élimine pas la nécessité d'adapter </w:t>
      </w:r>
      <w:r w:rsidR="0039626E">
        <w:rPr>
          <w:rFonts w:cs="Arial"/>
          <w:szCs w:val="20"/>
          <w:lang w:val="fr-FR"/>
        </w:rPr>
        <w:t>spécifiquement</w:t>
      </w:r>
      <w:r w:rsidRPr="00CE1EE1">
        <w:rPr>
          <w:rFonts w:cs="Arial"/>
          <w:szCs w:val="20"/>
          <w:lang w:val="fr-FR"/>
        </w:rPr>
        <w:t xml:space="preserve"> un système </w:t>
      </w:r>
      <w:r w:rsidR="0039626E">
        <w:rPr>
          <w:rFonts w:cs="Arial"/>
          <w:szCs w:val="20"/>
          <w:lang w:val="fr-FR"/>
        </w:rPr>
        <w:t>à des contraintes particulières</w:t>
      </w:r>
      <w:r w:rsidRPr="00CE1EE1">
        <w:rPr>
          <w:rFonts w:cs="Arial"/>
          <w:szCs w:val="20"/>
          <w:lang w:val="fr-FR"/>
        </w:rPr>
        <w:t xml:space="preserve"> </w:t>
      </w:r>
      <w:r w:rsidR="0039626E">
        <w:rPr>
          <w:rFonts w:cs="Arial"/>
          <w:szCs w:val="20"/>
          <w:lang w:val="fr-FR"/>
        </w:rPr>
        <w:t>d’</w:t>
      </w:r>
      <w:r w:rsidRPr="00CE1EE1">
        <w:rPr>
          <w:rFonts w:cs="Arial"/>
          <w:szCs w:val="20"/>
          <w:lang w:val="fr-FR"/>
        </w:rPr>
        <w:t xml:space="preserve">un client, mais cela accélère le processus", explique Christoph Wolkerstorfer, CSO chez TGW Logistics. </w:t>
      </w:r>
      <w:r w:rsidR="00C94CA3" w:rsidRPr="00C94CA3">
        <w:rPr>
          <w:rFonts w:cs="Arial"/>
          <w:szCs w:val="20"/>
          <w:lang w:val="fr-FR"/>
        </w:rPr>
        <w:t xml:space="preserve">Les avantages de cette approche sont : </w:t>
      </w:r>
      <w:r w:rsidR="00F55D6B">
        <w:rPr>
          <w:rFonts w:cs="Arial"/>
          <w:szCs w:val="20"/>
          <w:lang w:val="fr-FR"/>
        </w:rPr>
        <w:t>une t</w:t>
      </w:r>
      <w:r w:rsidR="00C94CA3" w:rsidRPr="00C94CA3">
        <w:rPr>
          <w:rFonts w:cs="Arial"/>
          <w:szCs w:val="20"/>
          <w:lang w:val="fr-FR"/>
        </w:rPr>
        <w:t xml:space="preserve">echnologie optimisée éprouvée, </w:t>
      </w:r>
      <w:r w:rsidR="00F55D6B">
        <w:rPr>
          <w:rFonts w:cs="Arial"/>
          <w:szCs w:val="20"/>
          <w:lang w:val="fr-FR"/>
        </w:rPr>
        <w:t xml:space="preserve">une </w:t>
      </w:r>
      <w:r w:rsidR="00C94CA3" w:rsidRPr="00C94CA3">
        <w:rPr>
          <w:rFonts w:cs="Arial"/>
          <w:szCs w:val="20"/>
          <w:lang w:val="fr-FR"/>
        </w:rPr>
        <w:t>installation rapide du système,</w:t>
      </w:r>
      <w:r w:rsidR="00F55D6B">
        <w:rPr>
          <w:rFonts w:cs="Arial"/>
          <w:szCs w:val="20"/>
          <w:lang w:val="fr-FR"/>
        </w:rPr>
        <w:t xml:space="preserve"> une</w:t>
      </w:r>
      <w:r w:rsidR="00C94CA3" w:rsidRPr="00C94CA3">
        <w:rPr>
          <w:rFonts w:cs="Arial"/>
          <w:szCs w:val="20"/>
          <w:lang w:val="fr-FR"/>
        </w:rPr>
        <w:t xml:space="preserve"> mise en service plus rapide et </w:t>
      </w:r>
      <w:r w:rsidR="00F55D6B">
        <w:rPr>
          <w:rFonts w:cs="Arial"/>
          <w:szCs w:val="20"/>
          <w:lang w:val="fr-FR"/>
        </w:rPr>
        <w:t xml:space="preserve">une </w:t>
      </w:r>
      <w:r w:rsidR="00C94CA3" w:rsidRPr="00C94CA3">
        <w:rPr>
          <w:rFonts w:cs="Arial"/>
          <w:szCs w:val="20"/>
          <w:lang w:val="fr-FR"/>
        </w:rPr>
        <w:t>évolutivité facilitée.</w:t>
      </w:r>
    </w:p>
    <w:p w:rsidR="00C94CA3" w:rsidRPr="00C94CA3" w:rsidRDefault="00C94CA3" w:rsidP="00C94CA3">
      <w:pPr>
        <w:rPr>
          <w:rFonts w:cs="Arial"/>
          <w:szCs w:val="20"/>
          <w:lang w:val="fr-FR"/>
        </w:rPr>
      </w:pPr>
      <w:r w:rsidRPr="00C94CA3">
        <w:rPr>
          <w:rFonts w:cs="Arial"/>
          <w:szCs w:val="20"/>
          <w:lang w:val="fr-FR"/>
        </w:rPr>
        <w:t xml:space="preserve"> </w:t>
      </w:r>
    </w:p>
    <w:p w:rsidR="00C94CA3" w:rsidRPr="00C94CA3" w:rsidRDefault="00C94CA3" w:rsidP="00C94CA3">
      <w:pPr>
        <w:rPr>
          <w:rFonts w:cs="Arial"/>
          <w:szCs w:val="20"/>
          <w:lang w:val="fr-FR"/>
        </w:rPr>
      </w:pPr>
      <w:r w:rsidRPr="00C94CA3">
        <w:rPr>
          <w:rFonts w:cs="Arial"/>
          <w:szCs w:val="20"/>
          <w:lang w:val="fr-FR"/>
        </w:rPr>
        <w:t>Parce que TGW n'offre pas toutes les technologies de la chaîne d'approvisionnement de la mode elle-même, les partenaires commerciaux ont également fait des présentations lors de l'événement. Marco di Pietro, CEO d'IdeaPura, Suisse, a parlé des avantages de la technologie RFID lorsqu'elle est utilisée de la fabrication au point de vente. Francesco Ponti, PDG de CMC Machinery, d'Italie, a présenté des machines d'emballage entièrement automatisées qui façonnent des emballages adaptés à la taille du produit. Lorsqu'elle est intégrée dans FlashPick® et OmniPick, cette technologie permet des processus Pick &amp; Pack sans contact, même pour les commandes en ligne.</w:t>
      </w:r>
    </w:p>
    <w:p w:rsidR="00C94CA3" w:rsidRPr="00C94CA3" w:rsidRDefault="00C94CA3" w:rsidP="00C94CA3">
      <w:pPr>
        <w:rPr>
          <w:rFonts w:cs="Arial"/>
          <w:szCs w:val="20"/>
          <w:lang w:val="fr-FR"/>
        </w:rPr>
      </w:pPr>
      <w:r w:rsidRPr="00C94CA3">
        <w:rPr>
          <w:rFonts w:cs="Arial"/>
          <w:szCs w:val="20"/>
          <w:lang w:val="fr-FR"/>
        </w:rPr>
        <w:t xml:space="preserve"> </w:t>
      </w:r>
    </w:p>
    <w:p w:rsidR="00CE1EE1" w:rsidRPr="00CE1EE1" w:rsidRDefault="00C94CA3" w:rsidP="00C94CA3">
      <w:pPr>
        <w:rPr>
          <w:rFonts w:cs="Arial"/>
          <w:szCs w:val="20"/>
          <w:lang w:val="fr-FR"/>
        </w:rPr>
      </w:pPr>
      <w:r w:rsidRPr="00C94CA3">
        <w:rPr>
          <w:rFonts w:cs="Arial"/>
          <w:szCs w:val="20"/>
          <w:lang w:val="fr-FR"/>
        </w:rPr>
        <w:t>Qu'il s'agisse de modernisation ou de nouveaux centres de distribution : Lors des Fashion Expert Days, les représentants des grandes marques de mode ont souligné que leur démarche d'automatisation se poursuivra. Selon Kevin Kuntz, Senior Vice President of Global Logistics Fulfillment chez GAP, après avoir installé les systèmes de réception TGW One-Touch (qui sont des systèmes automatisés d'entrée et de stockage basés sur la technologie Miniload), son entreprise prévoit maintenant d'acheter son neuvième système avec des shuttles pour un centre de distribution à Columbus, Ohio. Et le spécialiste allemand des articles de sport, PUMA, poursuit la centralisation de son réseau de distribution européen. Maximilian Molkenthin, Senior Head of Logistics, a indiqué que le nouvel entrepôt d'Europe centrale à Geiselwind, en Bavière, devrait être opérationnel au printemps 2021. Au cœur du système se trouve la solution FlashPick® de TGW pour la préparation automatique de commandes détail.</w:t>
      </w:r>
    </w:p>
    <w:p w:rsidR="00CE1EE1" w:rsidRPr="00CE1EE1" w:rsidRDefault="00CE1EE1" w:rsidP="00CE1EE1">
      <w:pPr>
        <w:rPr>
          <w:rFonts w:cs="Arial"/>
          <w:szCs w:val="20"/>
          <w:lang w:val="fr-FR"/>
        </w:rPr>
      </w:pPr>
    </w:p>
    <w:p w:rsidR="005E362F" w:rsidRPr="005E362F" w:rsidRDefault="005E362F" w:rsidP="005E362F">
      <w:pPr>
        <w:spacing w:line="240" w:lineRule="auto"/>
        <w:ind w:left="0" w:right="276"/>
        <w:rPr>
          <w:rFonts w:cs="Arial"/>
          <w:szCs w:val="20"/>
          <w:lang w:val="fr-FR"/>
        </w:rPr>
      </w:pPr>
    </w:p>
    <w:p w:rsidR="00560A7A" w:rsidRPr="00EC6AA7" w:rsidRDefault="003E663A" w:rsidP="005E362F">
      <w:pPr>
        <w:spacing w:line="240" w:lineRule="auto"/>
        <w:ind w:left="0" w:right="276"/>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570375">
      <w:pPr>
        <w:pStyle w:val="NormalWeb"/>
        <w:shd w:val="clear" w:color="auto" w:fill="FFFFFF"/>
        <w:spacing w:before="0" w:beforeAutospacing="0" w:after="0" w:afterAutospacing="0" w:line="360" w:lineRule="auto"/>
        <w:ind w:right="276"/>
        <w:jc w:val="both"/>
        <w:rPr>
          <w:rFonts w:ascii="Arial" w:hAnsi="Arial" w:cs="Arial"/>
          <w:b/>
          <w:sz w:val="20"/>
          <w:szCs w:val="20"/>
          <w:lang w:val="fr-FR"/>
        </w:rPr>
      </w:pPr>
    </w:p>
    <w:p w:rsidR="00167C23" w:rsidRPr="00EF3956" w:rsidRDefault="00167C23" w:rsidP="00570375">
      <w:pPr>
        <w:pStyle w:val="NormalWeb"/>
        <w:shd w:val="clear" w:color="auto" w:fill="FFFFFF"/>
        <w:spacing w:before="0" w:beforeAutospacing="0" w:after="0" w:afterAutospacing="0" w:line="360" w:lineRule="auto"/>
        <w:ind w:right="276"/>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w:t>
      </w:r>
      <w:r w:rsidR="00CA3B88">
        <w:rPr>
          <w:rFonts w:eastAsia="Times New Roman" w:cs="Arial"/>
          <w:szCs w:val="20"/>
          <w:lang w:val="fr-FR" w:eastAsia="fr-FR"/>
        </w:rPr>
        <w:t xml:space="preserve"> </w:t>
      </w:r>
      <w:r w:rsidRPr="00EF3956">
        <w:rPr>
          <w:rFonts w:eastAsia="Times New Roman" w:cs="Arial"/>
          <w:szCs w:val="20"/>
          <w:lang w:val="fr-FR" w:eastAsia="fr-FR"/>
        </w:rPr>
        <w:t xml:space="preserve">A comme Adidas à Z comme Zalando. </w:t>
      </w:r>
    </w:p>
    <w:p w:rsidR="00167C23" w:rsidRPr="00EF3956" w:rsidRDefault="00167C23" w:rsidP="00570375">
      <w:pPr>
        <w:shd w:val="clear" w:color="auto" w:fill="FFFFFF"/>
        <w:spacing w:line="240" w:lineRule="auto"/>
        <w:ind w:left="0" w:right="276"/>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570375">
      <w:pPr>
        <w:spacing w:line="240" w:lineRule="auto"/>
        <w:ind w:left="0" w:right="276"/>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3A" w:rsidRDefault="003E663A" w:rsidP="00764006">
      <w:pPr>
        <w:spacing w:line="240" w:lineRule="auto"/>
      </w:pPr>
      <w:r>
        <w:separator/>
      </w:r>
    </w:p>
  </w:endnote>
  <w:endnote w:type="continuationSeparator" w:id="0">
    <w:p w:rsidR="003E663A" w:rsidRDefault="003E663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46F1B">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346F1B">
            <w:rPr>
              <w:noProof/>
              <w:sz w:val="16"/>
              <w:szCs w:val="16"/>
            </w:rPr>
            <w:t>3</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3A" w:rsidRDefault="003E663A" w:rsidP="00764006">
      <w:pPr>
        <w:spacing w:line="240" w:lineRule="auto"/>
      </w:pPr>
      <w:r>
        <w:separator/>
      </w:r>
    </w:p>
  </w:footnote>
  <w:footnote w:type="continuationSeparator" w:id="0">
    <w:p w:rsidR="003E663A" w:rsidRDefault="003E663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9"/>
  </w:num>
  <w:num w:numId="4">
    <w:abstractNumId w:val="17"/>
  </w:num>
  <w:num w:numId="5">
    <w:abstractNumId w:val="19"/>
  </w:num>
  <w:num w:numId="6">
    <w:abstractNumId w:val="1"/>
  </w:num>
  <w:num w:numId="7">
    <w:abstractNumId w:val="0"/>
  </w:num>
  <w:num w:numId="8">
    <w:abstractNumId w:val="15"/>
  </w:num>
  <w:num w:numId="9">
    <w:abstractNumId w:val="2"/>
  </w:num>
  <w:num w:numId="10">
    <w:abstractNumId w:val="22"/>
  </w:num>
  <w:num w:numId="11">
    <w:abstractNumId w:val="8"/>
  </w:num>
  <w:num w:numId="12">
    <w:abstractNumId w:val="4"/>
  </w:num>
  <w:num w:numId="13">
    <w:abstractNumId w:val="5"/>
  </w:num>
  <w:num w:numId="14">
    <w:abstractNumId w:val="14"/>
  </w:num>
  <w:num w:numId="15">
    <w:abstractNumId w:val="25"/>
  </w:num>
  <w:num w:numId="16">
    <w:abstractNumId w:val="16"/>
  </w:num>
  <w:num w:numId="17">
    <w:abstractNumId w:val="10"/>
  </w:num>
  <w:num w:numId="18">
    <w:abstractNumId w:val="6"/>
  </w:num>
  <w:num w:numId="19">
    <w:abstractNumId w:val="24"/>
  </w:num>
  <w:num w:numId="20">
    <w:abstractNumId w:val="18"/>
  </w:num>
  <w:num w:numId="21">
    <w:abstractNumId w:val="21"/>
  </w:num>
  <w:num w:numId="22">
    <w:abstractNumId w:val="13"/>
  </w:num>
  <w:num w:numId="23">
    <w:abstractNumId w:val="20"/>
  </w:num>
  <w:num w:numId="24">
    <w:abstractNumId w:val="23"/>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36F7E"/>
    <w:rsid w:val="00045C9C"/>
    <w:rsid w:val="00045F47"/>
    <w:rsid w:val="00047282"/>
    <w:rsid w:val="0007311D"/>
    <w:rsid w:val="00075D61"/>
    <w:rsid w:val="00085169"/>
    <w:rsid w:val="00086319"/>
    <w:rsid w:val="0009316E"/>
    <w:rsid w:val="00093ACC"/>
    <w:rsid w:val="00095936"/>
    <w:rsid w:val="000969D5"/>
    <w:rsid w:val="000A267E"/>
    <w:rsid w:val="000A6CE7"/>
    <w:rsid w:val="000B65C7"/>
    <w:rsid w:val="000C38EE"/>
    <w:rsid w:val="000D2F1B"/>
    <w:rsid w:val="000D32EB"/>
    <w:rsid w:val="000E20AF"/>
    <w:rsid w:val="000E33BA"/>
    <w:rsid w:val="000E33FB"/>
    <w:rsid w:val="000E7ED5"/>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11F9"/>
    <w:rsid w:val="00152760"/>
    <w:rsid w:val="00155AE9"/>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40DE"/>
    <w:rsid w:val="001C4100"/>
    <w:rsid w:val="001C65A9"/>
    <w:rsid w:val="001D7887"/>
    <w:rsid w:val="001E6404"/>
    <w:rsid w:val="001F2A46"/>
    <w:rsid w:val="001F5D6D"/>
    <w:rsid w:val="0020344F"/>
    <w:rsid w:val="00203677"/>
    <w:rsid w:val="002064DA"/>
    <w:rsid w:val="00220DA8"/>
    <w:rsid w:val="00223EA8"/>
    <w:rsid w:val="0023663F"/>
    <w:rsid w:val="00245527"/>
    <w:rsid w:val="00250BA2"/>
    <w:rsid w:val="00262F29"/>
    <w:rsid w:val="0026487A"/>
    <w:rsid w:val="00265358"/>
    <w:rsid w:val="00265D9A"/>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46F1B"/>
    <w:rsid w:val="00353A88"/>
    <w:rsid w:val="00367F43"/>
    <w:rsid w:val="0037168C"/>
    <w:rsid w:val="00377F06"/>
    <w:rsid w:val="00382EDF"/>
    <w:rsid w:val="00386B3D"/>
    <w:rsid w:val="0039221F"/>
    <w:rsid w:val="00393349"/>
    <w:rsid w:val="003937AD"/>
    <w:rsid w:val="0039626E"/>
    <w:rsid w:val="003A1305"/>
    <w:rsid w:val="003A234F"/>
    <w:rsid w:val="003A35D1"/>
    <w:rsid w:val="003A5CDA"/>
    <w:rsid w:val="003A6D30"/>
    <w:rsid w:val="003B2F92"/>
    <w:rsid w:val="003B47D3"/>
    <w:rsid w:val="003B509C"/>
    <w:rsid w:val="003B5271"/>
    <w:rsid w:val="003B5B33"/>
    <w:rsid w:val="003B62B4"/>
    <w:rsid w:val="003B7A94"/>
    <w:rsid w:val="003C28EE"/>
    <w:rsid w:val="003C747F"/>
    <w:rsid w:val="003E1FFC"/>
    <w:rsid w:val="003E3F4D"/>
    <w:rsid w:val="003E4DE9"/>
    <w:rsid w:val="003E6164"/>
    <w:rsid w:val="003E663A"/>
    <w:rsid w:val="003F37ED"/>
    <w:rsid w:val="003F4923"/>
    <w:rsid w:val="004022C2"/>
    <w:rsid w:val="004031B0"/>
    <w:rsid w:val="004104A8"/>
    <w:rsid w:val="00410BEF"/>
    <w:rsid w:val="00414E36"/>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03A1"/>
    <w:rsid w:val="004B219C"/>
    <w:rsid w:val="004B3F79"/>
    <w:rsid w:val="004C1AD1"/>
    <w:rsid w:val="004C5917"/>
    <w:rsid w:val="004C6B87"/>
    <w:rsid w:val="004F6ECF"/>
    <w:rsid w:val="0050153C"/>
    <w:rsid w:val="005025FE"/>
    <w:rsid w:val="0050450E"/>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C52BE"/>
    <w:rsid w:val="005D0C18"/>
    <w:rsid w:val="005D3024"/>
    <w:rsid w:val="005D4DAA"/>
    <w:rsid w:val="005D56DA"/>
    <w:rsid w:val="005D71EC"/>
    <w:rsid w:val="005E2C94"/>
    <w:rsid w:val="005E362F"/>
    <w:rsid w:val="005E5427"/>
    <w:rsid w:val="005F0CD7"/>
    <w:rsid w:val="005F1EA6"/>
    <w:rsid w:val="005F366F"/>
    <w:rsid w:val="006037FB"/>
    <w:rsid w:val="00606EB8"/>
    <w:rsid w:val="00610D92"/>
    <w:rsid w:val="00614B22"/>
    <w:rsid w:val="006150A8"/>
    <w:rsid w:val="00617806"/>
    <w:rsid w:val="00617932"/>
    <w:rsid w:val="00623EDB"/>
    <w:rsid w:val="0062546A"/>
    <w:rsid w:val="006256BC"/>
    <w:rsid w:val="00625B35"/>
    <w:rsid w:val="00626565"/>
    <w:rsid w:val="006273C7"/>
    <w:rsid w:val="00630310"/>
    <w:rsid w:val="0063405C"/>
    <w:rsid w:val="006437FF"/>
    <w:rsid w:val="00643CDE"/>
    <w:rsid w:val="00653944"/>
    <w:rsid w:val="006606C6"/>
    <w:rsid w:val="00660B22"/>
    <w:rsid w:val="00664198"/>
    <w:rsid w:val="0067197F"/>
    <w:rsid w:val="0067659E"/>
    <w:rsid w:val="00676996"/>
    <w:rsid w:val="00677B13"/>
    <w:rsid w:val="006955DC"/>
    <w:rsid w:val="006A109C"/>
    <w:rsid w:val="006A2917"/>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5A96"/>
    <w:rsid w:val="00806F99"/>
    <w:rsid w:val="008072D1"/>
    <w:rsid w:val="00807724"/>
    <w:rsid w:val="00812E4D"/>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34BF1"/>
    <w:rsid w:val="00950F23"/>
    <w:rsid w:val="00963BE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407E9"/>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0B5D"/>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4272"/>
    <w:rsid w:val="00B64531"/>
    <w:rsid w:val="00B74B8A"/>
    <w:rsid w:val="00B74D4F"/>
    <w:rsid w:val="00B8155C"/>
    <w:rsid w:val="00B932A7"/>
    <w:rsid w:val="00B95BAE"/>
    <w:rsid w:val="00BA4EF4"/>
    <w:rsid w:val="00BB3138"/>
    <w:rsid w:val="00BB6455"/>
    <w:rsid w:val="00BB73BD"/>
    <w:rsid w:val="00BC12AE"/>
    <w:rsid w:val="00BC67B9"/>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93F76"/>
    <w:rsid w:val="00C94CA3"/>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6DE3"/>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49D9"/>
    <w:rsid w:val="00D66831"/>
    <w:rsid w:val="00D66FB8"/>
    <w:rsid w:val="00D72569"/>
    <w:rsid w:val="00D745F5"/>
    <w:rsid w:val="00D77C93"/>
    <w:rsid w:val="00D85C8C"/>
    <w:rsid w:val="00D92EC2"/>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637D"/>
    <w:rsid w:val="00DF6D64"/>
    <w:rsid w:val="00E041E4"/>
    <w:rsid w:val="00E11A04"/>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91F09"/>
    <w:rsid w:val="00E927FC"/>
    <w:rsid w:val="00E967EB"/>
    <w:rsid w:val="00EA410B"/>
    <w:rsid w:val="00EB4632"/>
    <w:rsid w:val="00EB6E2E"/>
    <w:rsid w:val="00EC09AC"/>
    <w:rsid w:val="00EC1320"/>
    <w:rsid w:val="00EC6AA7"/>
    <w:rsid w:val="00ED5843"/>
    <w:rsid w:val="00EE2524"/>
    <w:rsid w:val="00EF3956"/>
    <w:rsid w:val="00EF4501"/>
    <w:rsid w:val="00EF740E"/>
    <w:rsid w:val="00F04DCF"/>
    <w:rsid w:val="00F073D4"/>
    <w:rsid w:val="00F10C10"/>
    <w:rsid w:val="00F14C7D"/>
    <w:rsid w:val="00F174AB"/>
    <w:rsid w:val="00F23093"/>
    <w:rsid w:val="00F30444"/>
    <w:rsid w:val="00F35FAE"/>
    <w:rsid w:val="00F361BB"/>
    <w:rsid w:val="00F4548F"/>
    <w:rsid w:val="00F55627"/>
    <w:rsid w:val="00F55D6B"/>
    <w:rsid w:val="00F56EB8"/>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6EFA8"/>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2AFD-BA58-4DBA-BD98-99B881E8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6938</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2</cp:revision>
  <cp:lastPrinted>2019-02-21T13:46:00Z</cp:lastPrinted>
  <dcterms:created xsi:type="dcterms:W3CDTF">2019-10-23T16:22:00Z</dcterms:created>
  <dcterms:modified xsi:type="dcterms:W3CDTF">2019-10-23T16:22:00Z</dcterms:modified>
</cp:coreProperties>
</file>