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05" w:rsidRPr="000E5034" w:rsidRDefault="00911B05" w:rsidP="00911B05">
      <w:pPr>
        <w:spacing w:line="240" w:lineRule="auto"/>
        <w:ind w:left="0" w:right="276"/>
        <w:rPr>
          <w:rFonts w:cs="Arial"/>
          <w:b/>
          <w:sz w:val="28"/>
          <w:szCs w:val="28"/>
          <w:lang w:val="fr-FR"/>
        </w:rPr>
      </w:pPr>
      <w:r w:rsidRPr="000E5034">
        <w:rPr>
          <w:rFonts w:cs="Arial"/>
          <w:b/>
          <w:sz w:val="28"/>
          <w:szCs w:val="28"/>
          <w:lang w:val="fr-FR"/>
        </w:rPr>
        <w:t xml:space="preserve">Le détaillant en ligne Frisco.pl opte pour l'intralogistique automatisée </w:t>
      </w:r>
      <w:r w:rsidR="004152D9" w:rsidRPr="000E5034">
        <w:rPr>
          <w:rFonts w:cs="Arial"/>
          <w:b/>
          <w:sz w:val="28"/>
          <w:szCs w:val="28"/>
          <w:lang w:val="fr-FR"/>
        </w:rPr>
        <w:t>TGW</w:t>
      </w:r>
    </w:p>
    <w:p w:rsidR="00911B05" w:rsidRPr="00911B05" w:rsidRDefault="00911B05" w:rsidP="00911B05">
      <w:pPr>
        <w:spacing w:line="240" w:lineRule="auto"/>
        <w:ind w:left="0" w:right="276"/>
        <w:rPr>
          <w:rFonts w:cs="Arial"/>
          <w:sz w:val="22"/>
          <w:lang w:val="fr-FR"/>
        </w:rPr>
      </w:pPr>
    </w:p>
    <w:p w:rsidR="00911B05" w:rsidRPr="000E5034" w:rsidRDefault="004152D9" w:rsidP="00911B05">
      <w:pPr>
        <w:spacing w:line="240" w:lineRule="auto"/>
        <w:ind w:left="0" w:right="276"/>
        <w:rPr>
          <w:rFonts w:cs="Arial"/>
          <w:b/>
          <w:sz w:val="22"/>
          <w:lang w:val="fr-FR"/>
        </w:rPr>
      </w:pPr>
      <w:r w:rsidRPr="000E5034">
        <w:rPr>
          <w:rFonts w:cs="Arial"/>
          <w:b/>
          <w:sz w:val="22"/>
          <w:lang w:val="fr-FR"/>
        </w:rPr>
        <w:t xml:space="preserve">- </w:t>
      </w:r>
      <w:r w:rsidR="00911B05" w:rsidRPr="000E5034">
        <w:rPr>
          <w:rFonts w:cs="Arial"/>
          <w:b/>
          <w:sz w:val="22"/>
          <w:lang w:val="fr-FR"/>
        </w:rPr>
        <w:t xml:space="preserve">Un magasin automatique </w:t>
      </w:r>
      <w:r w:rsidR="005B02BD" w:rsidRPr="000E5034">
        <w:rPr>
          <w:rFonts w:cs="Arial"/>
          <w:b/>
          <w:sz w:val="22"/>
          <w:lang w:val="fr-FR"/>
        </w:rPr>
        <w:t>à</w:t>
      </w:r>
      <w:r w:rsidR="00911B05" w:rsidRPr="000E5034">
        <w:rPr>
          <w:rFonts w:cs="Arial"/>
          <w:b/>
          <w:sz w:val="22"/>
          <w:lang w:val="fr-FR"/>
        </w:rPr>
        <w:t xml:space="preserve"> navettes composé de 4 allées avec plus de 36.000 emplacements de stockage conçu pour le spécialiste polonais du commerce électronique.</w:t>
      </w:r>
    </w:p>
    <w:p w:rsidR="00396C8B" w:rsidRPr="000E5034" w:rsidRDefault="00911B05" w:rsidP="00396C8B">
      <w:pPr>
        <w:spacing w:line="240" w:lineRule="auto"/>
        <w:ind w:left="0" w:right="276"/>
        <w:rPr>
          <w:rFonts w:cs="Arial"/>
          <w:b/>
          <w:sz w:val="22"/>
          <w:lang w:val="fr-FR"/>
        </w:rPr>
      </w:pPr>
      <w:r w:rsidRPr="000E5034">
        <w:rPr>
          <w:rFonts w:cs="Arial"/>
          <w:b/>
          <w:sz w:val="22"/>
          <w:lang w:val="fr-FR"/>
        </w:rPr>
        <w:t xml:space="preserve">- </w:t>
      </w:r>
      <w:r w:rsidR="00A806EF" w:rsidRPr="000E5034">
        <w:rPr>
          <w:rFonts w:cs="Arial"/>
          <w:b/>
          <w:sz w:val="22"/>
          <w:lang w:val="fr-FR"/>
        </w:rPr>
        <w:t>Un</w:t>
      </w:r>
      <w:r w:rsidRPr="000E5034">
        <w:rPr>
          <w:rFonts w:cs="Arial"/>
          <w:b/>
          <w:sz w:val="22"/>
          <w:lang w:val="fr-FR"/>
        </w:rPr>
        <w:t xml:space="preserve"> accroissement de l'efficacité de la préparation des commandes et de la rapidité de livraison grâce à l</w:t>
      </w:r>
      <w:r w:rsidR="005D0F65" w:rsidRPr="000E5034">
        <w:rPr>
          <w:rFonts w:cs="Arial"/>
          <w:b/>
          <w:sz w:val="22"/>
          <w:lang w:val="fr-FR"/>
        </w:rPr>
        <w:t xml:space="preserve">a solution </w:t>
      </w:r>
      <w:r w:rsidRPr="000E5034">
        <w:rPr>
          <w:rFonts w:cs="Arial"/>
          <w:b/>
          <w:sz w:val="22"/>
          <w:lang w:val="fr-FR"/>
        </w:rPr>
        <w:t>automatis</w:t>
      </w:r>
      <w:r w:rsidR="005D0F65" w:rsidRPr="000E5034">
        <w:rPr>
          <w:rFonts w:cs="Arial"/>
          <w:b/>
          <w:sz w:val="22"/>
          <w:lang w:val="fr-FR"/>
        </w:rPr>
        <w:t xml:space="preserve">ée </w:t>
      </w:r>
      <w:r w:rsidR="00396C8B" w:rsidRPr="000E5034">
        <w:rPr>
          <w:rFonts w:cs="Arial"/>
          <w:b/>
          <w:sz w:val="22"/>
          <w:lang w:val="fr-FR"/>
        </w:rPr>
        <w:t xml:space="preserve">de TGW </w:t>
      </w:r>
      <w:bookmarkStart w:id="0" w:name="_GoBack"/>
      <w:bookmarkEnd w:id="0"/>
    </w:p>
    <w:p w:rsidR="004152D9" w:rsidRPr="000E5034" w:rsidRDefault="004152D9" w:rsidP="00396C8B">
      <w:pPr>
        <w:spacing w:line="240" w:lineRule="auto"/>
        <w:ind w:left="0" w:right="276"/>
        <w:rPr>
          <w:rFonts w:cs="Arial"/>
          <w:b/>
          <w:sz w:val="22"/>
          <w:lang w:val="fr-FR"/>
        </w:rPr>
      </w:pPr>
      <w:r w:rsidRPr="000E5034">
        <w:rPr>
          <w:rFonts w:cs="Arial"/>
          <w:b/>
          <w:sz w:val="22"/>
          <w:lang w:val="fr-FR"/>
        </w:rPr>
        <w:t xml:space="preserve">- L’expertise TGW pour le pilotage et le logiciel </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 xml:space="preserve">TGW a construit </w:t>
      </w:r>
      <w:r w:rsidR="004152D9">
        <w:rPr>
          <w:rFonts w:cs="Arial"/>
          <w:sz w:val="22"/>
          <w:lang w:val="fr-FR"/>
        </w:rPr>
        <w:t xml:space="preserve">récemment </w:t>
      </w:r>
      <w:r w:rsidRPr="00911B05">
        <w:rPr>
          <w:rFonts w:cs="Arial"/>
          <w:sz w:val="22"/>
          <w:lang w:val="fr-FR"/>
        </w:rPr>
        <w:t xml:space="preserve">un centre de distribution pour le spécialiste polonais du commerce électronique Frisco.pl, à environ 13 kilomètres au nord-ouest de Varsovie. Le système hautement automatisé fonctionne dans quatre zones de </w:t>
      </w:r>
      <w:r>
        <w:rPr>
          <w:rFonts w:cs="Arial"/>
          <w:sz w:val="22"/>
          <w:lang w:val="fr-FR"/>
        </w:rPr>
        <w:t>température différentes (tempérée, fraîche, réfrigérée et surgelée)</w:t>
      </w:r>
      <w:r w:rsidRPr="00911B05">
        <w:rPr>
          <w:rFonts w:cs="Arial"/>
          <w:sz w:val="22"/>
          <w:lang w:val="fr-FR"/>
        </w:rPr>
        <w:t xml:space="preserve">. Le centre logistique a </w:t>
      </w:r>
      <w:r>
        <w:rPr>
          <w:rFonts w:cs="Arial"/>
          <w:sz w:val="22"/>
          <w:lang w:val="fr-FR"/>
        </w:rPr>
        <w:t>ét</w:t>
      </w:r>
      <w:r w:rsidR="00396C8B">
        <w:rPr>
          <w:rFonts w:cs="Arial"/>
          <w:sz w:val="22"/>
          <w:lang w:val="fr-FR"/>
        </w:rPr>
        <w:t>é mis en service avec succès du</w:t>
      </w:r>
      <w:r>
        <w:rPr>
          <w:rFonts w:cs="Arial"/>
          <w:sz w:val="22"/>
          <w:lang w:val="fr-FR"/>
        </w:rPr>
        <w:t>rant</w:t>
      </w:r>
      <w:r w:rsidRPr="00911B05">
        <w:rPr>
          <w:rFonts w:cs="Arial"/>
          <w:sz w:val="22"/>
          <w:lang w:val="fr-FR"/>
        </w:rPr>
        <w:t xml:space="preserve"> l'été 2019, </w:t>
      </w:r>
      <w:r w:rsidR="004152D9">
        <w:rPr>
          <w:rFonts w:cs="Arial"/>
          <w:sz w:val="22"/>
          <w:lang w:val="fr-FR"/>
        </w:rPr>
        <w:t xml:space="preserve">soit </w:t>
      </w:r>
      <w:r w:rsidRPr="00911B05">
        <w:rPr>
          <w:rFonts w:cs="Arial"/>
          <w:sz w:val="22"/>
          <w:lang w:val="fr-FR"/>
        </w:rPr>
        <w:t xml:space="preserve">21 mois seulement après </w:t>
      </w:r>
      <w:r>
        <w:rPr>
          <w:rFonts w:cs="Arial"/>
          <w:sz w:val="22"/>
          <w:lang w:val="fr-FR"/>
        </w:rPr>
        <w:t>la signature</w:t>
      </w:r>
      <w:r w:rsidRPr="00911B05">
        <w:rPr>
          <w:rFonts w:cs="Arial"/>
          <w:sz w:val="22"/>
          <w:lang w:val="fr-FR"/>
        </w:rPr>
        <w:t xml:space="preserve"> du contrat.</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 xml:space="preserve">Frisco.pl est l'un des principaux </w:t>
      </w:r>
      <w:r w:rsidR="00442E5E">
        <w:rPr>
          <w:rFonts w:cs="Arial"/>
          <w:sz w:val="22"/>
          <w:lang w:val="fr-FR"/>
        </w:rPr>
        <w:t>distributeurs</w:t>
      </w:r>
      <w:r w:rsidRPr="00911B05">
        <w:rPr>
          <w:rFonts w:cs="Arial"/>
          <w:sz w:val="22"/>
          <w:lang w:val="fr-FR"/>
        </w:rPr>
        <w:t xml:space="preserve"> polonais de produits alimentaires en ligne et le seul acteur </w:t>
      </w:r>
      <w:r w:rsidR="00396C8B">
        <w:rPr>
          <w:rFonts w:cs="Arial"/>
          <w:sz w:val="22"/>
          <w:lang w:val="fr-FR"/>
        </w:rPr>
        <w:t xml:space="preserve">opérant </w:t>
      </w:r>
      <w:r w:rsidR="00F50022" w:rsidRPr="00F50022">
        <w:rPr>
          <w:rFonts w:cs="Arial"/>
          <w:color w:val="00B0F0"/>
          <w:sz w:val="22"/>
          <w:lang w:val="fr-FR"/>
        </w:rPr>
        <w:t>à</w:t>
      </w:r>
      <w:r w:rsidR="00F50022">
        <w:rPr>
          <w:rFonts w:cs="Arial"/>
          <w:sz w:val="22"/>
          <w:lang w:val="fr-FR"/>
        </w:rPr>
        <w:t xml:space="preserve"> </w:t>
      </w:r>
      <w:r w:rsidR="00BE15E8">
        <w:rPr>
          <w:rFonts w:cs="Arial"/>
          <w:sz w:val="22"/>
          <w:lang w:val="fr-FR"/>
        </w:rPr>
        <w:t>100 %</w:t>
      </w:r>
      <w:r w:rsidR="00396C8B">
        <w:rPr>
          <w:rFonts w:cs="Arial"/>
          <w:sz w:val="22"/>
          <w:lang w:val="fr-FR"/>
        </w:rPr>
        <w:t xml:space="preserve"> en ligne </w:t>
      </w:r>
      <w:r w:rsidRPr="00911B05">
        <w:rPr>
          <w:rFonts w:cs="Arial"/>
          <w:sz w:val="22"/>
          <w:lang w:val="fr-FR"/>
        </w:rPr>
        <w:t xml:space="preserve">sur le marché polonais </w:t>
      </w:r>
      <w:r w:rsidR="00F50022" w:rsidRPr="00F50022">
        <w:rPr>
          <w:rFonts w:cs="Arial"/>
          <w:color w:val="00B0F0"/>
          <w:sz w:val="22"/>
          <w:lang w:val="fr-FR"/>
        </w:rPr>
        <w:t xml:space="preserve">et </w:t>
      </w:r>
      <w:r w:rsidR="00BE15E8">
        <w:rPr>
          <w:rFonts w:cs="Arial"/>
          <w:sz w:val="22"/>
          <w:lang w:val="fr-FR"/>
        </w:rPr>
        <w:t>sans aucun point de vente</w:t>
      </w:r>
      <w:r w:rsidRPr="00911B05">
        <w:rPr>
          <w:rFonts w:cs="Arial"/>
          <w:sz w:val="22"/>
          <w:lang w:val="fr-FR"/>
        </w:rPr>
        <w:t xml:space="preserve">. </w:t>
      </w:r>
      <w:r w:rsidR="00BE15E8">
        <w:rPr>
          <w:rFonts w:cs="Arial"/>
          <w:sz w:val="22"/>
          <w:lang w:val="fr-FR"/>
        </w:rPr>
        <w:t>Frisco.pl</w:t>
      </w:r>
      <w:r w:rsidRPr="00911B05">
        <w:rPr>
          <w:rFonts w:cs="Arial"/>
          <w:sz w:val="22"/>
          <w:lang w:val="fr-FR"/>
        </w:rPr>
        <w:t xml:space="preserve"> peut ainsi se concentrer pleinement sur la garantie </w:t>
      </w:r>
      <w:r w:rsidR="000E5034">
        <w:rPr>
          <w:rFonts w:cs="Arial"/>
          <w:sz w:val="22"/>
          <w:lang w:val="fr-FR"/>
        </w:rPr>
        <w:t>d’un</w:t>
      </w:r>
      <w:r w:rsidR="00F50022" w:rsidRPr="00F50022">
        <w:rPr>
          <w:rFonts w:cs="Arial"/>
          <w:color w:val="00B0F0"/>
          <w:sz w:val="22"/>
          <w:lang w:val="fr-FR"/>
        </w:rPr>
        <w:t xml:space="preserve"> </w:t>
      </w:r>
      <w:r w:rsidRPr="00911B05">
        <w:rPr>
          <w:rFonts w:cs="Arial"/>
          <w:sz w:val="22"/>
          <w:lang w:val="fr-FR"/>
        </w:rPr>
        <w:t xml:space="preserve">service de qualité. L'entreprise basée à Varsovie, qui appartient au groupe Eurocash, </w:t>
      </w:r>
      <w:r w:rsidR="00BE15E8">
        <w:rPr>
          <w:rFonts w:cs="Arial"/>
          <w:sz w:val="22"/>
          <w:lang w:val="fr-FR"/>
        </w:rPr>
        <w:t>livre</w:t>
      </w:r>
      <w:r w:rsidRPr="00911B05">
        <w:rPr>
          <w:rFonts w:cs="Arial"/>
          <w:sz w:val="22"/>
          <w:lang w:val="fr-FR"/>
        </w:rPr>
        <w:t xml:space="preserve"> ses clients </w:t>
      </w:r>
      <w:r w:rsidR="002B7E0E">
        <w:rPr>
          <w:rFonts w:cs="Arial"/>
          <w:sz w:val="22"/>
          <w:lang w:val="fr-FR"/>
        </w:rPr>
        <w:t>7</w:t>
      </w:r>
      <w:r w:rsidRPr="00911B05">
        <w:rPr>
          <w:rFonts w:cs="Arial"/>
          <w:sz w:val="22"/>
          <w:lang w:val="fr-FR"/>
        </w:rPr>
        <w:t xml:space="preserve"> jours sur </w:t>
      </w:r>
      <w:r w:rsidR="002B7E0E">
        <w:rPr>
          <w:rFonts w:cs="Arial"/>
          <w:sz w:val="22"/>
          <w:lang w:val="fr-FR"/>
        </w:rPr>
        <w:t>7</w:t>
      </w:r>
      <w:r w:rsidRPr="00911B05">
        <w:rPr>
          <w:rFonts w:cs="Arial"/>
          <w:sz w:val="22"/>
          <w:lang w:val="fr-FR"/>
        </w:rPr>
        <w:t xml:space="preserve"> avec sa propre flotte de véhicules et des stations de </w:t>
      </w:r>
      <w:r w:rsidR="00BE15E8">
        <w:rPr>
          <w:rFonts w:cs="Arial"/>
          <w:sz w:val="22"/>
          <w:lang w:val="fr-FR"/>
        </w:rPr>
        <w:t>collecte</w:t>
      </w:r>
      <w:r w:rsidRPr="00911B05">
        <w:rPr>
          <w:rFonts w:cs="Arial"/>
          <w:sz w:val="22"/>
          <w:lang w:val="fr-FR"/>
        </w:rPr>
        <w:t xml:space="preserve"> spéci</w:t>
      </w:r>
      <w:r w:rsidR="00BE15E8">
        <w:rPr>
          <w:rFonts w:cs="Arial"/>
          <w:sz w:val="22"/>
          <w:lang w:val="fr-FR"/>
        </w:rPr>
        <w:t>fiques.</w:t>
      </w:r>
      <w:r w:rsidRPr="00911B05">
        <w:rPr>
          <w:rFonts w:cs="Arial"/>
          <w:sz w:val="22"/>
          <w:lang w:val="fr-FR"/>
        </w:rPr>
        <w:t xml:space="preserve"> En 2018, ce spécialiste du e-commerce a réalisé un chiffre d'affaires de 23 millions d'euros avec un effectif d'environ 200 personnes. </w:t>
      </w:r>
    </w:p>
    <w:p w:rsidR="00911B05" w:rsidRPr="00911B05" w:rsidRDefault="00911B05" w:rsidP="00911B05">
      <w:pPr>
        <w:spacing w:line="240" w:lineRule="auto"/>
        <w:ind w:left="0" w:right="276"/>
        <w:rPr>
          <w:rFonts w:cs="Arial"/>
          <w:sz w:val="22"/>
          <w:lang w:val="fr-FR"/>
        </w:rPr>
      </w:pPr>
    </w:p>
    <w:p w:rsidR="00911B05" w:rsidRPr="00911B05" w:rsidRDefault="0089548F" w:rsidP="00911B05">
      <w:pPr>
        <w:spacing w:line="240" w:lineRule="auto"/>
        <w:ind w:left="0" w:right="276"/>
        <w:rPr>
          <w:rFonts w:cs="Arial"/>
          <w:sz w:val="22"/>
          <w:lang w:val="fr-FR"/>
        </w:rPr>
      </w:pPr>
      <w:r>
        <w:rPr>
          <w:rFonts w:cs="Arial"/>
          <w:sz w:val="22"/>
          <w:lang w:val="fr-FR"/>
        </w:rPr>
        <w:t xml:space="preserve">Afin de répondre à la </w:t>
      </w:r>
      <w:r w:rsidR="00911B05" w:rsidRPr="00911B05">
        <w:rPr>
          <w:rFonts w:cs="Arial"/>
          <w:sz w:val="22"/>
          <w:lang w:val="fr-FR"/>
        </w:rPr>
        <w:t xml:space="preserve">croissance planifiée </w:t>
      </w:r>
      <w:r w:rsidR="00BE15E8">
        <w:rPr>
          <w:rFonts w:cs="Arial"/>
          <w:sz w:val="22"/>
          <w:lang w:val="fr-FR"/>
        </w:rPr>
        <w:t>pour</w:t>
      </w:r>
      <w:r w:rsidR="00911B05" w:rsidRPr="00911B05">
        <w:rPr>
          <w:rFonts w:cs="Arial"/>
          <w:sz w:val="22"/>
          <w:lang w:val="fr-FR"/>
        </w:rPr>
        <w:t xml:space="preserve"> les années à venir, Frisco a confié à TGW la construction d'un système intralogistique entièrement automatisé dans son nouvel entrepôt. Le centre logistique moderne</w:t>
      </w:r>
      <w:r w:rsidR="00BE15E8">
        <w:rPr>
          <w:rFonts w:cs="Arial"/>
          <w:sz w:val="22"/>
          <w:lang w:val="fr-FR"/>
        </w:rPr>
        <w:t xml:space="preserve"> </w:t>
      </w:r>
      <w:r w:rsidR="00911B05" w:rsidRPr="00911B05">
        <w:rPr>
          <w:rFonts w:cs="Arial"/>
          <w:sz w:val="22"/>
          <w:lang w:val="fr-FR"/>
        </w:rPr>
        <w:t>et automatisé de Klaudyn, près de Varsovie, occupe 11.000 mètres carrés et permet à Frisco.pl de traiter jusqu'à quatre fois plus de commandes et d'effectuer des livraisons le jour même - grâce à une augmentation significative de la productivité, de l'efficacité du travail et de la réduction du temps de conditionnement.</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p>
    <w:p w:rsidR="00911B05" w:rsidRPr="000E5034" w:rsidRDefault="00911B05" w:rsidP="00911B05">
      <w:pPr>
        <w:spacing w:line="240" w:lineRule="auto"/>
        <w:ind w:left="0" w:right="276"/>
        <w:rPr>
          <w:rFonts w:cs="Arial"/>
          <w:b/>
          <w:sz w:val="22"/>
          <w:lang w:val="fr-FR"/>
        </w:rPr>
      </w:pPr>
      <w:r w:rsidRPr="000E5034">
        <w:rPr>
          <w:rFonts w:cs="Arial"/>
          <w:b/>
          <w:sz w:val="22"/>
          <w:lang w:val="fr-FR"/>
        </w:rPr>
        <w:t>Quatre zones de température</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 xml:space="preserve">Le nouveau système TGW couvre quatre zones de température : </w:t>
      </w:r>
      <w:r w:rsidR="00BE15E8">
        <w:rPr>
          <w:rFonts w:cs="Arial"/>
          <w:sz w:val="22"/>
          <w:lang w:val="fr-FR"/>
        </w:rPr>
        <w:t>(tempérée, fraîche, réfrigérée et surgelée)</w:t>
      </w:r>
      <w:r w:rsidRPr="00911B05">
        <w:rPr>
          <w:rFonts w:cs="Arial"/>
          <w:sz w:val="22"/>
          <w:lang w:val="fr-FR"/>
        </w:rPr>
        <w:t xml:space="preserve">. </w:t>
      </w:r>
      <w:r w:rsidR="0089548F">
        <w:rPr>
          <w:rFonts w:cs="Arial"/>
          <w:sz w:val="22"/>
          <w:lang w:val="fr-FR"/>
        </w:rPr>
        <w:t>U</w:t>
      </w:r>
      <w:r w:rsidRPr="00911B05">
        <w:rPr>
          <w:rFonts w:cs="Arial"/>
          <w:sz w:val="22"/>
          <w:lang w:val="fr-FR"/>
        </w:rPr>
        <w:t xml:space="preserve">n entrepôt </w:t>
      </w:r>
      <w:r w:rsidR="000E5034">
        <w:rPr>
          <w:rFonts w:cs="Arial"/>
          <w:sz w:val="22"/>
          <w:lang w:val="fr-FR"/>
        </w:rPr>
        <w:t>à</w:t>
      </w:r>
      <w:r w:rsidRPr="00911B05">
        <w:rPr>
          <w:rFonts w:cs="Arial"/>
          <w:sz w:val="22"/>
          <w:lang w:val="fr-FR"/>
        </w:rPr>
        <w:t xml:space="preserve"> navettes </w:t>
      </w:r>
      <w:r w:rsidR="000E5034">
        <w:rPr>
          <w:rFonts w:cs="Arial"/>
          <w:sz w:val="22"/>
          <w:lang w:val="fr-FR"/>
        </w:rPr>
        <w:t>de</w:t>
      </w:r>
      <w:r w:rsidRPr="00911B05">
        <w:rPr>
          <w:rFonts w:cs="Arial"/>
          <w:sz w:val="22"/>
          <w:lang w:val="fr-FR"/>
        </w:rPr>
        <w:t xml:space="preserve"> quatre allées</w:t>
      </w:r>
      <w:r w:rsidR="00BE15E8" w:rsidRPr="00BE15E8">
        <w:rPr>
          <w:rFonts w:cs="Arial"/>
          <w:sz w:val="22"/>
          <w:lang w:val="fr-FR"/>
        </w:rPr>
        <w:t xml:space="preserve"> </w:t>
      </w:r>
      <w:r w:rsidR="00BE15E8">
        <w:rPr>
          <w:rFonts w:cs="Arial"/>
          <w:sz w:val="22"/>
          <w:lang w:val="fr-FR"/>
        </w:rPr>
        <w:t>est a</w:t>
      </w:r>
      <w:r w:rsidR="00BE15E8" w:rsidRPr="00911B05">
        <w:rPr>
          <w:rFonts w:cs="Arial"/>
          <w:sz w:val="22"/>
          <w:lang w:val="fr-FR"/>
        </w:rPr>
        <w:t>u cœur de la solution</w:t>
      </w:r>
      <w:r w:rsidRPr="00911B05">
        <w:rPr>
          <w:rFonts w:cs="Arial"/>
          <w:sz w:val="22"/>
          <w:lang w:val="fr-FR"/>
        </w:rPr>
        <w:t xml:space="preserve">. Grâce au stockage en double profondeur, l'entrepôt dispose de plus de 36.000 emplacements de stockage pour les bacs. 80 navettes Stingray </w:t>
      </w:r>
      <w:r w:rsidRPr="00911B05">
        <w:rPr>
          <w:rFonts w:cs="Arial"/>
          <w:sz w:val="22"/>
          <w:lang w:val="fr-FR"/>
        </w:rPr>
        <w:lastRenderedPageBreak/>
        <w:t>éco</w:t>
      </w:r>
      <w:r w:rsidR="0089548F">
        <w:rPr>
          <w:rFonts w:cs="Arial"/>
          <w:sz w:val="22"/>
          <w:lang w:val="fr-FR"/>
        </w:rPr>
        <w:t>-énergétiques</w:t>
      </w:r>
      <w:r w:rsidRPr="00911B05">
        <w:rPr>
          <w:rFonts w:cs="Arial"/>
          <w:sz w:val="22"/>
          <w:lang w:val="fr-FR"/>
        </w:rPr>
        <w:t xml:space="preserve"> assurent le stockage et la récupération automatiques, gérant jusqu'à 4 300 articles de commande par heure.</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 xml:space="preserve">Les commandes des clients sont </w:t>
      </w:r>
      <w:r w:rsidR="000E5034">
        <w:rPr>
          <w:rFonts w:cs="Arial"/>
          <w:sz w:val="22"/>
          <w:lang w:val="fr-FR"/>
        </w:rPr>
        <w:t>préparées</w:t>
      </w:r>
      <w:r w:rsidR="00F50022">
        <w:rPr>
          <w:rFonts w:cs="Arial"/>
          <w:color w:val="00B0F0"/>
          <w:sz w:val="22"/>
          <w:lang w:val="fr-FR"/>
        </w:rPr>
        <w:t xml:space="preserve"> </w:t>
      </w:r>
      <w:r w:rsidRPr="00911B05">
        <w:rPr>
          <w:rFonts w:cs="Arial"/>
          <w:sz w:val="22"/>
          <w:lang w:val="fr-FR"/>
        </w:rPr>
        <w:t xml:space="preserve">sur douze postes de travail ergonomiques, dont quatre PickCenters TGW haute performance. Les bacs pour les tournées individuelles sont ensuite chargés automatiquement dans les rayonnages de livraison par une cellule robotisée TGW et </w:t>
      </w:r>
      <w:r w:rsidR="0089548F">
        <w:rPr>
          <w:rFonts w:cs="Arial"/>
          <w:sz w:val="22"/>
          <w:lang w:val="fr-FR"/>
        </w:rPr>
        <w:t>enfin</w:t>
      </w:r>
      <w:r w:rsidRPr="00911B05">
        <w:rPr>
          <w:rFonts w:cs="Arial"/>
          <w:sz w:val="22"/>
          <w:lang w:val="fr-FR"/>
        </w:rPr>
        <w:t xml:space="preserve"> préparés pour l'expédition. TGW Commander contrôle tous les processus, tandis que la suite logicielle TGW garantit un contrôle optimal des processus et assure une intégration en douceur dans le système de gestion des entrepôts (WMS) du client.</w:t>
      </w:r>
    </w:p>
    <w:p w:rsidR="00911B05" w:rsidRPr="00911B05" w:rsidRDefault="00911B05" w:rsidP="00911B05">
      <w:pPr>
        <w:spacing w:line="240" w:lineRule="auto"/>
        <w:ind w:left="0" w:right="276"/>
        <w:rPr>
          <w:rFonts w:cs="Arial"/>
          <w:sz w:val="22"/>
          <w:lang w:val="fr-FR"/>
        </w:rPr>
      </w:pPr>
    </w:p>
    <w:p w:rsidR="00911B05" w:rsidRPr="000E5034" w:rsidRDefault="00911B05" w:rsidP="00911B05">
      <w:pPr>
        <w:spacing w:line="240" w:lineRule="auto"/>
        <w:ind w:left="0" w:right="276"/>
        <w:rPr>
          <w:rFonts w:cs="Arial"/>
          <w:b/>
          <w:sz w:val="22"/>
          <w:lang w:val="fr-FR"/>
        </w:rPr>
      </w:pPr>
      <w:r w:rsidRPr="000E5034">
        <w:rPr>
          <w:rFonts w:cs="Arial"/>
          <w:b/>
          <w:sz w:val="22"/>
          <w:lang w:val="fr-FR"/>
        </w:rPr>
        <w:t xml:space="preserve">Haute </w:t>
      </w:r>
      <w:r w:rsidR="000E5034">
        <w:rPr>
          <w:rFonts w:cs="Arial"/>
          <w:b/>
          <w:sz w:val="22"/>
          <w:lang w:val="fr-FR"/>
        </w:rPr>
        <w:t>performance</w:t>
      </w:r>
      <w:r w:rsidRPr="000E5034">
        <w:rPr>
          <w:rFonts w:cs="Arial"/>
          <w:b/>
          <w:sz w:val="22"/>
          <w:lang w:val="fr-FR"/>
        </w:rPr>
        <w:t>, extensi</w:t>
      </w:r>
      <w:r w:rsidR="000E5034">
        <w:rPr>
          <w:rFonts w:cs="Arial"/>
          <w:b/>
          <w:sz w:val="22"/>
          <w:lang w:val="fr-FR"/>
        </w:rPr>
        <w:t xml:space="preserve">on </w:t>
      </w:r>
      <w:r w:rsidRPr="000E5034">
        <w:rPr>
          <w:rFonts w:cs="Arial"/>
          <w:b/>
          <w:sz w:val="22"/>
          <w:lang w:val="fr-FR"/>
        </w:rPr>
        <w:t>facile</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Grzegorz Bielecki, CEO de Frisco</w:t>
      </w:r>
      <w:r w:rsidR="000E5034">
        <w:rPr>
          <w:rFonts w:cs="Arial"/>
          <w:sz w:val="22"/>
          <w:lang w:val="fr-FR"/>
        </w:rPr>
        <w:t xml:space="preserve"> </w:t>
      </w:r>
      <w:r w:rsidR="000E5034" w:rsidRPr="00911B05">
        <w:rPr>
          <w:rFonts w:cs="Arial"/>
          <w:sz w:val="22"/>
          <w:lang w:val="fr-FR"/>
        </w:rPr>
        <w:t>souligne</w:t>
      </w:r>
      <w:r w:rsidRPr="00911B05">
        <w:rPr>
          <w:rFonts w:cs="Arial"/>
          <w:sz w:val="22"/>
          <w:lang w:val="fr-FR"/>
        </w:rPr>
        <w:t xml:space="preserve"> : "Nous sommes fiers de la confiance </w:t>
      </w:r>
      <w:r w:rsidR="000E5034">
        <w:rPr>
          <w:rFonts w:cs="Arial"/>
          <w:sz w:val="22"/>
          <w:lang w:val="fr-FR"/>
        </w:rPr>
        <w:t>accordée par nos</w:t>
      </w:r>
      <w:r w:rsidRPr="00911B05">
        <w:rPr>
          <w:rFonts w:cs="Arial"/>
          <w:sz w:val="22"/>
          <w:lang w:val="fr-FR"/>
        </w:rPr>
        <w:t xml:space="preserve"> clients. La solution de stockage de TGW augmente considérablement l'efficacité de nos processus logistiques. Nous voulons que toutes les commandes soient livrées à 100% avec précision et avec le plus haut niveau de qualité." </w:t>
      </w:r>
    </w:p>
    <w:p w:rsidR="00911B05" w:rsidRPr="00911B05" w:rsidRDefault="00911B05" w:rsidP="00911B05">
      <w:pPr>
        <w:spacing w:line="240" w:lineRule="auto"/>
        <w:ind w:left="0" w:right="276"/>
        <w:rPr>
          <w:rFonts w:cs="Arial"/>
          <w:sz w:val="22"/>
          <w:lang w:val="fr-FR"/>
        </w:rPr>
      </w:pPr>
    </w:p>
    <w:p w:rsidR="00911B05" w:rsidRPr="00911B05" w:rsidRDefault="00911B05" w:rsidP="00911B05">
      <w:pPr>
        <w:spacing w:line="240" w:lineRule="auto"/>
        <w:ind w:left="0" w:right="276"/>
        <w:rPr>
          <w:rFonts w:cs="Arial"/>
          <w:sz w:val="22"/>
          <w:lang w:val="fr-FR"/>
        </w:rPr>
      </w:pPr>
      <w:r w:rsidRPr="00911B05">
        <w:rPr>
          <w:rFonts w:cs="Arial"/>
          <w:sz w:val="22"/>
          <w:lang w:val="fr-FR"/>
        </w:rPr>
        <w:t xml:space="preserve">"La solution TGW pour Frisco est évolutive et offre un maximum de flexibilité ", souligne Johann Steinkellner, CEO Central Europe chez TGW. "Si nécessaire, le système peut être étendu très rapidement." Dans le cadre d'un contrat de services de deux ans, les spécialistes de TGW fournissent également un </w:t>
      </w:r>
      <w:r w:rsidR="0089548F">
        <w:rPr>
          <w:rFonts w:cs="Arial"/>
          <w:sz w:val="22"/>
          <w:lang w:val="fr-FR"/>
        </w:rPr>
        <w:t>support</w:t>
      </w:r>
      <w:r w:rsidRPr="00911B05">
        <w:rPr>
          <w:rFonts w:cs="Arial"/>
          <w:sz w:val="22"/>
          <w:lang w:val="fr-FR"/>
        </w:rPr>
        <w:t xml:space="preserve"> continu au système.</w:t>
      </w:r>
    </w:p>
    <w:p w:rsidR="00911B05" w:rsidRPr="00911B05" w:rsidRDefault="00911B05" w:rsidP="00911B05">
      <w:pPr>
        <w:spacing w:line="240" w:lineRule="auto"/>
        <w:ind w:left="0" w:right="276"/>
        <w:rPr>
          <w:rFonts w:cs="Arial"/>
          <w:sz w:val="22"/>
          <w:lang w:val="fr-FR"/>
        </w:rPr>
      </w:pPr>
    </w:p>
    <w:p w:rsidR="00560A7A" w:rsidRPr="00EC6AA7" w:rsidRDefault="00C630E9" w:rsidP="00570375">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AB574C" w:rsidRDefault="00AB574C"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lastRenderedPageBreak/>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C630E9" w:rsidRDefault="00167C23" w:rsidP="00167C23">
      <w:pPr>
        <w:spacing w:line="240" w:lineRule="auto"/>
        <w:ind w:left="0" w:right="165"/>
        <w:rPr>
          <w:rFonts w:cs="Arial"/>
          <w:szCs w:val="20"/>
          <w:lang w:val="en-GB"/>
        </w:rPr>
      </w:pPr>
      <w:r w:rsidRPr="00C630E9">
        <w:rPr>
          <w:rFonts w:cs="Arial"/>
          <w:szCs w:val="20"/>
          <w:lang w:val="en-GB"/>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BD" w:rsidRDefault="00B50FBD" w:rsidP="00764006">
      <w:pPr>
        <w:spacing w:line="240" w:lineRule="auto"/>
      </w:pPr>
      <w:r>
        <w:separator/>
      </w:r>
    </w:p>
  </w:endnote>
  <w:endnote w:type="continuationSeparator" w:id="0">
    <w:p w:rsidR="00B50FBD" w:rsidRDefault="00B50FB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C630E9">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C630E9">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BD" w:rsidRDefault="00B50FBD" w:rsidP="00764006">
      <w:pPr>
        <w:spacing w:line="240" w:lineRule="auto"/>
      </w:pPr>
      <w:r>
        <w:separator/>
      </w:r>
    </w:p>
  </w:footnote>
  <w:footnote w:type="continuationSeparator" w:id="0">
    <w:p w:rsidR="00B50FBD" w:rsidRDefault="00B50FB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6"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5"/>
  </w:num>
  <w:num w:numId="5">
    <w:abstractNumId w:val="17"/>
  </w:num>
  <w:num w:numId="6">
    <w:abstractNumId w:val="1"/>
  </w:num>
  <w:num w:numId="7">
    <w:abstractNumId w:val="0"/>
  </w:num>
  <w:num w:numId="8">
    <w:abstractNumId w:val="13"/>
  </w:num>
  <w:num w:numId="9">
    <w:abstractNumId w:val="2"/>
  </w:num>
  <w:num w:numId="10">
    <w:abstractNumId w:val="19"/>
  </w:num>
  <w:num w:numId="11">
    <w:abstractNumId w:val="7"/>
  </w:num>
  <w:num w:numId="12">
    <w:abstractNumId w:val="3"/>
  </w:num>
  <w:num w:numId="13">
    <w:abstractNumId w:val="4"/>
  </w:num>
  <w:num w:numId="14">
    <w:abstractNumId w:val="12"/>
  </w:num>
  <w:num w:numId="15">
    <w:abstractNumId w:val="21"/>
  </w:num>
  <w:num w:numId="16">
    <w:abstractNumId w:val="14"/>
  </w:num>
  <w:num w:numId="17">
    <w:abstractNumId w:val="9"/>
  </w:num>
  <w:num w:numId="18">
    <w:abstractNumId w:val="5"/>
  </w:num>
  <w:num w:numId="19">
    <w:abstractNumId w:val="20"/>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0E85"/>
    <w:rsid w:val="000220DD"/>
    <w:rsid w:val="00023BDF"/>
    <w:rsid w:val="000362EF"/>
    <w:rsid w:val="00045C9C"/>
    <w:rsid w:val="00045F47"/>
    <w:rsid w:val="00047282"/>
    <w:rsid w:val="0007311D"/>
    <w:rsid w:val="00086319"/>
    <w:rsid w:val="00093ACC"/>
    <w:rsid w:val="00095936"/>
    <w:rsid w:val="000969D5"/>
    <w:rsid w:val="000A267E"/>
    <w:rsid w:val="000A6CE7"/>
    <w:rsid w:val="000B5B31"/>
    <w:rsid w:val="000B65C7"/>
    <w:rsid w:val="000C38EE"/>
    <w:rsid w:val="000D2F1B"/>
    <w:rsid w:val="000D32EB"/>
    <w:rsid w:val="000E20AF"/>
    <w:rsid w:val="000E33BA"/>
    <w:rsid w:val="000E33FB"/>
    <w:rsid w:val="000E5034"/>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11F9"/>
    <w:rsid w:val="00152760"/>
    <w:rsid w:val="00155AE9"/>
    <w:rsid w:val="0016587B"/>
    <w:rsid w:val="00165988"/>
    <w:rsid w:val="00167C23"/>
    <w:rsid w:val="001828AC"/>
    <w:rsid w:val="00183067"/>
    <w:rsid w:val="00185FCF"/>
    <w:rsid w:val="0019186D"/>
    <w:rsid w:val="00191D7D"/>
    <w:rsid w:val="00195BA1"/>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3585"/>
    <w:rsid w:val="0026487A"/>
    <w:rsid w:val="00265358"/>
    <w:rsid w:val="00273328"/>
    <w:rsid w:val="002820AB"/>
    <w:rsid w:val="00282D6C"/>
    <w:rsid w:val="002A1224"/>
    <w:rsid w:val="002A19B6"/>
    <w:rsid w:val="002A3009"/>
    <w:rsid w:val="002A564B"/>
    <w:rsid w:val="002B01D3"/>
    <w:rsid w:val="002B7E0E"/>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5612A"/>
    <w:rsid w:val="00367F43"/>
    <w:rsid w:val="0037168C"/>
    <w:rsid w:val="00377F06"/>
    <w:rsid w:val="00382EDF"/>
    <w:rsid w:val="00386B3D"/>
    <w:rsid w:val="0039221F"/>
    <w:rsid w:val="00393349"/>
    <w:rsid w:val="003937AD"/>
    <w:rsid w:val="00396C8B"/>
    <w:rsid w:val="003A1305"/>
    <w:rsid w:val="003A146C"/>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152D9"/>
    <w:rsid w:val="00421BE2"/>
    <w:rsid w:val="004242C5"/>
    <w:rsid w:val="004265B6"/>
    <w:rsid w:val="004272DB"/>
    <w:rsid w:val="00427466"/>
    <w:rsid w:val="004277EE"/>
    <w:rsid w:val="00431015"/>
    <w:rsid w:val="0043387C"/>
    <w:rsid w:val="00434783"/>
    <w:rsid w:val="00440DC9"/>
    <w:rsid w:val="00442E5E"/>
    <w:rsid w:val="00451FDA"/>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5917"/>
    <w:rsid w:val="004C6B87"/>
    <w:rsid w:val="004D0C28"/>
    <w:rsid w:val="004F6ECF"/>
    <w:rsid w:val="0050153C"/>
    <w:rsid w:val="005025FE"/>
    <w:rsid w:val="0050450E"/>
    <w:rsid w:val="005136AB"/>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02BD"/>
    <w:rsid w:val="005B3F84"/>
    <w:rsid w:val="005B5337"/>
    <w:rsid w:val="005C52BE"/>
    <w:rsid w:val="005D0C18"/>
    <w:rsid w:val="005D0F65"/>
    <w:rsid w:val="005D3024"/>
    <w:rsid w:val="005D56DA"/>
    <w:rsid w:val="005D71EC"/>
    <w:rsid w:val="005E2C94"/>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A109C"/>
    <w:rsid w:val="006A31DC"/>
    <w:rsid w:val="006B07F5"/>
    <w:rsid w:val="006B28AB"/>
    <w:rsid w:val="006B29B2"/>
    <w:rsid w:val="006B4E87"/>
    <w:rsid w:val="006B7887"/>
    <w:rsid w:val="006C2268"/>
    <w:rsid w:val="006C35D3"/>
    <w:rsid w:val="006C79BB"/>
    <w:rsid w:val="006D240C"/>
    <w:rsid w:val="006D7ABD"/>
    <w:rsid w:val="006D7AED"/>
    <w:rsid w:val="006E3CD3"/>
    <w:rsid w:val="006E5E9E"/>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37CC"/>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47E4"/>
    <w:rsid w:val="00806F99"/>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4086"/>
    <w:rsid w:val="00894DA5"/>
    <w:rsid w:val="0089548F"/>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1B05"/>
    <w:rsid w:val="00912C82"/>
    <w:rsid w:val="00914596"/>
    <w:rsid w:val="00920D0B"/>
    <w:rsid w:val="009242D9"/>
    <w:rsid w:val="009248C3"/>
    <w:rsid w:val="009275F8"/>
    <w:rsid w:val="009321FE"/>
    <w:rsid w:val="00934BF1"/>
    <w:rsid w:val="00947E87"/>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06EF"/>
    <w:rsid w:val="00A874D1"/>
    <w:rsid w:val="00A97BFD"/>
    <w:rsid w:val="00AA055D"/>
    <w:rsid w:val="00AA52E5"/>
    <w:rsid w:val="00AA7624"/>
    <w:rsid w:val="00AB132E"/>
    <w:rsid w:val="00AB2EE2"/>
    <w:rsid w:val="00AB5598"/>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3390D"/>
    <w:rsid w:val="00B359A0"/>
    <w:rsid w:val="00B41D07"/>
    <w:rsid w:val="00B4317D"/>
    <w:rsid w:val="00B4759A"/>
    <w:rsid w:val="00B50FBD"/>
    <w:rsid w:val="00B64272"/>
    <w:rsid w:val="00B64531"/>
    <w:rsid w:val="00B74B8A"/>
    <w:rsid w:val="00B74D4F"/>
    <w:rsid w:val="00B8155C"/>
    <w:rsid w:val="00B932A7"/>
    <w:rsid w:val="00B95BAE"/>
    <w:rsid w:val="00BA4EF4"/>
    <w:rsid w:val="00BB3138"/>
    <w:rsid w:val="00BB6455"/>
    <w:rsid w:val="00BB73BD"/>
    <w:rsid w:val="00BC0018"/>
    <w:rsid w:val="00BC12AE"/>
    <w:rsid w:val="00BC67B9"/>
    <w:rsid w:val="00BD53E1"/>
    <w:rsid w:val="00BD5BE0"/>
    <w:rsid w:val="00BE05A5"/>
    <w:rsid w:val="00BE0D07"/>
    <w:rsid w:val="00BE0EBD"/>
    <w:rsid w:val="00BE15E8"/>
    <w:rsid w:val="00C06703"/>
    <w:rsid w:val="00C07327"/>
    <w:rsid w:val="00C1137C"/>
    <w:rsid w:val="00C1252C"/>
    <w:rsid w:val="00C13257"/>
    <w:rsid w:val="00C13361"/>
    <w:rsid w:val="00C167D5"/>
    <w:rsid w:val="00C17586"/>
    <w:rsid w:val="00C22048"/>
    <w:rsid w:val="00C22070"/>
    <w:rsid w:val="00C22962"/>
    <w:rsid w:val="00C2310A"/>
    <w:rsid w:val="00C25152"/>
    <w:rsid w:val="00C2672F"/>
    <w:rsid w:val="00C317B8"/>
    <w:rsid w:val="00C33356"/>
    <w:rsid w:val="00C333F7"/>
    <w:rsid w:val="00C41621"/>
    <w:rsid w:val="00C424EA"/>
    <w:rsid w:val="00C427DF"/>
    <w:rsid w:val="00C442BE"/>
    <w:rsid w:val="00C54F6A"/>
    <w:rsid w:val="00C61E0C"/>
    <w:rsid w:val="00C630E9"/>
    <w:rsid w:val="00C63A0D"/>
    <w:rsid w:val="00C64F18"/>
    <w:rsid w:val="00C65F60"/>
    <w:rsid w:val="00C668EB"/>
    <w:rsid w:val="00C83128"/>
    <w:rsid w:val="00C834F9"/>
    <w:rsid w:val="00C843AC"/>
    <w:rsid w:val="00C84540"/>
    <w:rsid w:val="00C8748C"/>
    <w:rsid w:val="00C93F76"/>
    <w:rsid w:val="00C96AB6"/>
    <w:rsid w:val="00CA1801"/>
    <w:rsid w:val="00CA3B88"/>
    <w:rsid w:val="00CA4E1A"/>
    <w:rsid w:val="00CA5A78"/>
    <w:rsid w:val="00CA5C99"/>
    <w:rsid w:val="00CB6FA6"/>
    <w:rsid w:val="00CC797E"/>
    <w:rsid w:val="00CD6174"/>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43C45"/>
    <w:rsid w:val="00D50250"/>
    <w:rsid w:val="00D575CA"/>
    <w:rsid w:val="00D60658"/>
    <w:rsid w:val="00D608FE"/>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4548F"/>
    <w:rsid w:val="00F50022"/>
    <w:rsid w:val="00F55627"/>
    <w:rsid w:val="00F56EB8"/>
    <w:rsid w:val="00F60C5D"/>
    <w:rsid w:val="00F61210"/>
    <w:rsid w:val="00F62691"/>
    <w:rsid w:val="00F67C6E"/>
    <w:rsid w:val="00F76C2B"/>
    <w:rsid w:val="00F82E3A"/>
    <w:rsid w:val="00F84D1A"/>
    <w:rsid w:val="00F90859"/>
    <w:rsid w:val="00F9169E"/>
    <w:rsid w:val="00FA6051"/>
    <w:rsid w:val="00FB0EAC"/>
    <w:rsid w:val="00FC6563"/>
    <w:rsid w:val="00FC7686"/>
    <w:rsid w:val="00FD25D7"/>
    <w:rsid w:val="00FD341E"/>
    <w:rsid w:val="00FD66DC"/>
    <w:rsid w:val="00FF0C4D"/>
    <w:rsid w:val="00FF0F9C"/>
    <w:rsid w:val="00FF2E35"/>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B0B7-B318-4CAE-9AD4-7E3B2E7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4174</Characters>
  <Application>Microsoft Office Word</Application>
  <DocSecurity>4</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2</cp:revision>
  <cp:lastPrinted>2019-02-21T13:46:00Z</cp:lastPrinted>
  <dcterms:created xsi:type="dcterms:W3CDTF">2019-09-17T15:14:00Z</dcterms:created>
  <dcterms:modified xsi:type="dcterms:W3CDTF">2019-09-17T15:14:00Z</dcterms:modified>
</cp:coreProperties>
</file>