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1E" w:rsidRDefault="0073741E" w:rsidP="00B34DB2">
      <w:pPr>
        <w:spacing w:line="360" w:lineRule="auto"/>
        <w:ind w:left="0" w:right="1693"/>
        <w:rPr>
          <w:rFonts w:cs="Arial"/>
          <w:b/>
          <w:szCs w:val="20"/>
        </w:rPr>
      </w:pPr>
    </w:p>
    <w:p w:rsidR="00617115" w:rsidRDefault="00617115" w:rsidP="00B34DB2">
      <w:pPr>
        <w:spacing w:line="360" w:lineRule="auto"/>
        <w:ind w:left="0" w:right="1693"/>
        <w:rPr>
          <w:rFonts w:cs="Arial"/>
          <w:b/>
          <w:szCs w:val="20"/>
        </w:rPr>
      </w:pPr>
    </w:p>
    <w:p w:rsidR="0073741E" w:rsidRPr="0058631D" w:rsidRDefault="00950845" w:rsidP="00B34DB2">
      <w:pPr>
        <w:spacing w:line="360" w:lineRule="auto"/>
        <w:ind w:left="0" w:right="1693"/>
        <w:rPr>
          <w:rFonts w:cs="Arial"/>
          <w:b/>
          <w:sz w:val="32"/>
          <w:szCs w:val="32"/>
        </w:rPr>
      </w:pPr>
      <w:r>
        <w:rPr>
          <w:rFonts w:cs="Arial"/>
          <w:b/>
          <w:sz w:val="32"/>
          <w:szCs w:val="32"/>
        </w:rPr>
        <w:t>Fórmula de modernización perfecta para Almi</w:t>
      </w:r>
    </w:p>
    <w:p w:rsidR="00315732" w:rsidRDefault="00315732" w:rsidP="00B34DB2">
      <w:pPr>
        <w:spacing w:line="360" w:lineRule="auto"/>
        <w:ind w:left="0" w:right="1693"/>
        <w:rPr>
          <w:rFonts w:cs="Arial"/>
          <w:b/>
          <w:sz w:val="24"/>
          <w:szCs w:val="24"/>
        </w:rPr>
      </w:pPr>
    </w:p>
    <w:p w:rsidR="00A67260" w:rsidRDefault="00950845" w:rsidP="003328BA">
      <w:pPr>
        <w:pStyle w:val="Listenabsatz"/>
        <w:numPr>
          <w:ilvl w:val="0"/>
          <w:numId w:val="21"/>
        </w:numPr>
        <w:spacing w:line="360" w:lineRule="auto"/>
        <w:ind w:right="1693"/>
        <w:jc w:val="left"/>
        <w:rPr>
          <w:rFonts w:cs="Arial"/>
          <w:b/>
          <w:sz w:val="24"/>
          <w:szCs w:val="24"/>
        </w:rPr>
      </w:pPr>
      <w:r>
        <w:rPr>
          <w:rFonts w:cs="Arial"/>
          <w:b/>
          <w:sz w:val="24"/>
          <w:szCs w:val="24"/>
        </w:rPr>
        <w:t>TGW modernizó el almacén del especialista en especias</w:t>
      </w:r>
      <w:r>
        <w:rPr>
          <w:rFonts w:cs="Arial"/>
          <w:b/>
          <w:sz w:val="24"/>
          <w:szCs w:val="24"/>
        </w:rPr>
        <w:br/>
        <w:t>sin detener las operaciones</w:t>
      </w:r>
    </w:p>
    <w:p w:rsidR="00950845" w:rsidRPr="001F49D5" w:rsidRDefault="003328BA" w:rsidP="001F49D5">
      <w:pPr>
        <w:pStyle w:val="Listenabsatz"/>
        <w:numPr>
          <w:ilvl w:val="0"/>
          <w:numId w:val="21"/>
        </w:numPr>
        <w:spacing w:line="360" w:lineRule="auto"/>
        <w:ind w:right="1693"/>
        <w:jc w:val="left"/>
        <w:rPr>
          <w:rFonts w:cs="Arial"/>
          <w:b/>
          <w:sz w:val="24"/>
          <w:szCs w:val="24"/>
        </w:rPr>
      </w:pPr>
      <w:r>
        <w:rPr>
          <w:rFonts w:cs="Arial"/>
          <w:b/>
          <w:sz w:val="24"/>
          <w:szCs w:val="24"/>
        </w:rPr>
        <w:t>La renovación del hardware y el software permite</w:t>
      </w:r>
      <w:r>
        <w:rPr>
          <w:rFonts w:cs="Arial"/>
          <w:b/>
          <w:sz w:val="24"/>
          <w:szCs w:val="24"/>
        </w:rPr>
        <w:br/>
        <w:t>ahorrar hasta un 20 % de energía</w:t>
      </w:r>
    </w:p>
    <w:p w:rsidR="00E26207" w:rsidRDefault="00E13783" w:rsidP="003328BA">
      <w:pPr>
        <w:pStyle w:val="Listenabsatz"/>
        <w:numPr>
          <w:ilvl w:val="0"/>
          <w:numId w:val="21"/>
        </w:numPr>
        <w:spacing w:line="360" w:lineRule="auto"/>
        <w:ind w:right="1693"/>
        <w:jc w:val="left"/>
        <w:rPr>
          <w:rFonts w:cs="Arial"/>
          <w:b/>
          <w:sz w:val="24"/>
          <w:szCs w:val="24"/>
        </w:rPr>
      </w:pPr>
      <w:r>
        <w:rPr>
          <w:rFonts w:cs="Arial"/>
          <w:b/>
          <w:sz w:val="24"/>
          <w:szCs w:val="24"/>
        </w:rPr>
        <w:t>El proyecto garantiza la disponibilidad de la instalación a largo plazo</w:t>
      </w:r>
    </w:p>
    <w:p w:rsidR="00A52BBB" w:rsidRDefault="00A52BBB" w:rsidP="00D25685">
      <w:pPr>
        <w:pStyle w:val="Listenabsatz"/>
        <w:spacing w:line="360" w:lineRule="auto"/>
        <w:ind w:right="1693"/>
        <w:rPr>
          <w:rFonts w:cs="Arial"/>
          <w:b/>
          <w:sz w:val="24"/>
          <w:szCs w:val="24"/>
        </w:rPr>
      </w:pPr>
    </w:p>
    <w:p w:rsidR="005A4DB6" w:rsidRPr="003328BA" w:rsidRDefault="00EF32D1" w:rsidP="00F67286">
      <w:pPr>
        <w:spacing w:line="360" w:lineRule="auto"/>
        <w:ind w:left="0" w:right="1693"/>
        <w:rPr>
          <w:rFonts w:cs="Arial"/>
          <w:b/>
          <w:szCs w:val="20"/>
        </w:rPr>
      </w:pPr>
      <w:r>
        <w:rPr>
          <w:rFonts w:cs="Arial"/>
          <w:b/>
          <w:szCs w:val="20"/>
        </w:rPr>
        <w:t xml:space="preserve">(Marchtrenk, </w:t>
      </w:r>
      <w:r w:rsidR="00EE1589">
        <w:rPr>
          <w:rFonts w:cs="Arial"/>
          <w:b/>
          <w:szCs w:val="20"/>
        </w:rPr>
        <w:t>27</w:t>
      </w:r>
      <w:r>
        <w:rPr>
          <w:rFonts w:cs="Arial"/>
          <w:b/>
          <w:szCs w:val="20"/>
        </w:rPr>
        <w:t xml:space="preserve"> de </w:t>
      </w:r>
      <w:r w:rsidR="00EE1589">
        <w:rPr>
          <w:rFonts w:cs="Arial"/>
          <w:b/>
          <w:szCs w:val="20"/>
        </w:rPr>
        <w:t>s</w:t>
      </w:r>
      <w:bookmarkStart w:id="0" w:name="_GoBack"/>
      <w:bookmarkEnd w:id="0"/>
      <w:r w:rsidR="00EE1589">
        <w:rPr>
          <w:rFonts w:cs="Arial"/>
          <w:b/>
          <w:szCs w:val="20"/>
        </w:rPr>
        <w:t>eptiembre</w:t>
      </w:r>
      <w:r>
        <w:rPr>
          <w:rFonts w:cs="Arial"/>
          <w:b/>
          <w:szCs w:val="20"/>
        </w:rPr>
        <w:t xml:space="preserve"> de 2022) Quien quiere crear cadenas de creación de valor resilientes para cumplir los compromisos de entrega con los clientes necesita una intralogística potente. Por tanto, el especialista en especias austriaco Almi encargó a TGW Logistics Group la modernización de su almacén en Oftering. Los expertos de TGW llevaron a cabo el proyecto en un tiempo récord, sin interrumpir las operaciones y a pesar de los efectos de la pandemia de coronavirus.</w:t>
      </w:r>
    </w:p>
    <w:p w:rsidR="00E819C5" w:rsidRPr="003328BA" w:rsidRDefault="00E819C5" w:rsidP="00F67286">
      <w:pPr>
        <w:spacing w:line="360" w:lineRule="auto"/>
        <w:ind w:left="0" w:right="1693"/>
        <w:rPr>
          <w:rFonts w:cs="Arial"/>
          <w:b/>
          <w:szCs w:val="20"/>
        </w:rPr>
      </w:pPr>
    </w:p>
    <w:p w:rsidR="00E852FE" w:rsidRDefault="00E819C5" w:rsidP="00F67286">
      <w:pPr>
        <w:spacing w:line="360" w:lineRule="auto"/>
        <w:ind w:left="0" w:right="1693"/>
        <w:rPr>
          <w:rFonts w:cs="Arial"/>
          <w:bCs/>
          <w:szCs w:val="20"/>
        </w:rPr>
      </w:pPr>
      <w:r>
        <w:rPr>
          <w:rFonts w:cs="Arial"/>
          <w:bCs/>
          <w:szCs w:val="20"/>
        </w:rPr>
        <w:t>Se va a seguir comiendo siempre. Este dicho es prácticamente el lema del fabricante de especias Almi. La empresa ha experimentado un crecimiento constante desde su creación en 1931 gracias a su estrategia de internacionalización y diversificación. Actualmente, los grandes y pequeños sibaritas de 62 países pueden disfrutar con las especias de Almi de una infinidad de platos, desde una sopa de espárragos a un pollo ecológico. La empresa factura unos 132 millones de euros al año, casi el 90 % de los productos se exportan.</w:t>
      </w:r>
    </w:p>
    <w:p w:rsidR="00D740E2" w:rsidRDefault="00D740E2" w:rsidP="00F67286">
      <w:pPr>
        <w:spacing w:line="360" w:lineRule="auto"/>
        <w:ind w:left="0" w:right="1693"/>
        <w:rPr>
          <w:rFonts w:cs="Arial"/>
          <w:bCs/>
          <w:szCs w:val="20"/>
        </w:rPr>
      </w:pPr>
    </w:p>
    <w:p w:rsidR="00D740E2" w:rsidRPr="00D740E2" w:rsidRDefault="00D740E2" w:rsidP="00F67286">
      <w:pPr>
        <w:spacing w:line="360" w:lineRule="auto"/>
        <w:ind w:left="0" w:right="1693"/>
        <w:rPr>
          <w:rFonts w:cs="Arial"/>
          <w:b/>
          <w:bCs/>
          <w:szCs w:val="20"/>
        </w:rPr>
      </w:pPr>
      <w:r>
        <w:rPr>
          <w:rFonts w:cs="Arial"/>
          <w:b/>
          <w:bCs/>
          <w:szCs w:val="20"/>
        </w:rPr>
        <w:t>Modernización sin interrumpir las operaciones</w:t>
      </w:r>
    </w:p>
    <w:p w:rsidR="0072106C" w:rsidRPr="003328BA" w:rsidRDefault="0072106C" w:rsidP="00F67286">
      <w:pPr>
        <w:spacing w:line="360" w:lineRule="auto"/>
        <w:ind w:left="0" w:right="1693"/>
        <w:rPr>
          <w:rFonts w:cs="Arial"/>
          <w:bCs/>
          <w:szCs w:val="20"/>
        </w:rPr>
      </w:pPr>
    </w:p>
    <w:p w:rsidR="0072106C" w:rsidRPr="003328BA" w:rsidRDefault="0072106C" w:rsidP="00F67286">
      <w:pPr>
        <w:spacing w:line="360" w:lineRule="auto"/>
        <w:ind w:left="0" w:right="1693"/>
        <w:rPr>
          <w:rFonts w:cs="Arial"/>
          <w:bCs/>
          <w:szCs w:val="20"/>
        </w:rPr>
      </w:pPr>
      <w:r>
        <w:rPr>
          <w:rFonts w:cs="Arial"/>
          <w:bCs/>
          <w:szCs w:val="20"/>
        </w:rPr>
        <w:t xml:space="preserve">Sin embargo, el éxito en la industria de la alimentación también tiene su precio. Los clientes tienen hambre también en días festivos. Es decir: en comparación con otros sectores en los que la producción se detiene, Almi no puede permitirse descansos largos. La gestión del tiempo supone un gran reto para proyectos de construcción o modernización. </w:t>
      </w:r>
    </w:p>
    <w:p w:rsidR="00010E97" w:rsidRPr="003328BA" w:rsidRDefault="00010E97" w:rsidP="00F67286">
      <w:pPr>
        <w:spacing w:line="360" w:lineRule="auto"/>
        <w:ind w:left="0" w:right="1693"/>
        <w:rPr>
          <w:rFonts w:cs="Arial"/>
          <w:bCs/>
          <w:szCs w:val="20"/>
        </w:rPr>
      </w:pPr>
    </w:p>
    <w:p w:rsidR="00010E97" w:rsidRPr="003328BA" w:rsidRDefault="00010E97" w:rsidP="00F67286">
      <w:pPr>
        <w:spacing w:line="360" w:lineRule="auto"/>
        <w:ind w:left="0" w:right="1693"/>
        <w:rPr>
          <w:rFonts w:cs="Arial"/>
          <w:bCs/>
          <w:szCs w:val="20"/>
        </w:rPr>
      </w:pPr>
      <w:r>
        <w:rPr>
          <w:rFonts w:cs="Arial"/>
          <w:bCs/>
          <w:szCs w:val="20"/>
        </w:rPr>
        <w:lastRenderedPageBreak/>
        <w:t xml:space="preserve">Esto también fue así en el caso de la modernización del almacén automatizado de cubetas de casi 10 000 ubicaciones. Para poder seguir cumpliendo el compromiso de entrega y poner las bases del futuro crecimiento, la empresa familiar se decidió por una ampliación. "Para Almi, la sostenibilidad es muy importante. No queremos quitar espacio a zonas verdes, por eso queríamos optimizar la instalación ya existente de manera que estemos bien equipados para el futuro", explica Stefan Lackinger, el director de producción de Almi. </w:t>
      </w:r>
    </w:p>
    <w:p w:rsidR="008A5F44" w:rsidRPr="003328BA" w:rsidRDefault="008A5F44" w:rsidP="00F67286">
      <w:pPr>
        <w:spacing w:line="360" w:lineRule="auto"/>
        <w:ind w:left="0" w:right="1693"/>
        <w:rPr>
          <w:rFonts w:cs="Arial"/>
          <w:bCs/>
          <w:szCs w:val="20"/>
        </w:rPr>
      </w:pPr>
    </w:p>
    <w:p w:rsidR="00586667" w:rsidRDefault="005E1D57" w:rsidP="00F67286">
      <w:pPr>
        <w:spacing w:line="360" w:lineRule="auto"/>
        <w:ind w:left="0" w:right="1693"/>
        <w:rPr>
          <w:rFonts w:cs="Arial"/>
          <w:bCs/>
          <w:szCs w:val="20"/>
        </w:rPr>
      </w:pPr>
      <w:r>
        <w:rPr>
          <w:rFonts w:cs="Arial"/>
          <w:bCs/>
          <w:szCs w:val="20"/>
        </w:rPr>
        <w:t>En 2006, Almi encargó a TGW la instalación de un almacén en un terreno de unos 28 000 m</w:t>
      </w:r>
      <w:r>
        <w:rPr>
          <w:rFonts w:cs="Arial"/>
          <w:bCs/>
          <w:szCs w:val="20"/>
          <w:vertAlign w:val="superscript"/>
        </w:rPr>
        <w:t>2</w:t>
      </w:r>
      <w:r>
        <w:rPr>
          <w:rFonts w:cs="Arial"/>
          <w:bCs/>
          <w:szCs w:val="20"/>
        </w:rPr>
        <w:t>. El núcleo del sistema es el almacén automático tipo miniload con tres pasillos, almacén intermedio de cubetas y un sistema de manutención de cubetas, cajas y palets en tres niveles. Para potenciar aún más la intralogística, la instalación se equipó con un sistema de manutención eficiente en el consumo de energía. Sin embargo, Almi no se quedó de brazos cruzados: en 2017, la empresa encargó a TGW actualizar el sistema de gestión del almacén (Warehouse Management System, WMS).</w:t>
      </w:r>
    </w:p>
    <w:p w:rsidR="00811B3B" w:rsidRDefault="00811B3B" w:rsidP="00F67286">
      <w:pPr>
        <w:spacing w:line="360" w:lineRule="auto"/>
        <w:ind w:left="0" w:right="1693"/>
        <w:rPr>
          <w:rFonts w:cs="Arial"/>
          <w:bCs/>
          <w:szCs w:val="20"/>
        </w:rPr>
      </w:pPr>
    </w:p>
    <w:p w:rsidR="00811B3B" w:rsidRPr="00811B3B" w:rsidRDefault="00811B3B" w:rsidP="00F67286">
      <w:pPr>
        <w:spacing w:line="360" w:lineRule="auto"/>
        <w:ind w:left="0" w:right="1693"/>
        <w:rPr>
          <w:rFonts w:cs="Arial"/>
          <w:b/>
          <w:bCs/>
          <w:szCs w:val="20"/>
        </w:rPr>
      </w:pPr>
      <w:r>
        <w:rPr>
          <w:rFonts w:cs="Arial"/>
          <w:b/>
          <w:bCs/>
          <w:szCs w:val="20"/>
        </w:rPr>
        <w:t>Juntos hacia un futuro verde</w:t>
      </w:r>
    </w:p>
    <w:p w:rsidR="00811B3B" w:rsidRPr="003328BA" w:rsidRDefault="00811B3B" w:rsidP="00F67286">
      <w:pPr>
        <w:spacing w:line="360" w:lineRule="auto"/>
        <w:ind w:left="0" w:right="1693"/>
        <w:rPr>
          <w:rFonts w:cs="Arial"/>
          <w:bCs/>
          <w:szCs w:val="20"/>
        </w:rPr>
      </w:pPr>
    </w:p>
    <w:p w:rsidR="008A5F44" w:rsidRPr="003328BA" w:rsidRDefault="00440D4C" w:rsidP="00F67286">
      <w:pPr>
        <w:spacing w:line="360" w:lineRule="auto"/>
        <w:ind w:left="0" w:right="1693"/>
        <w:rPr>
          <w:rFonts w:cs="Arial"/>
          <w:bCs/>
          <w:szCs w:val="20"/>
        </w:rPr>
      </w:pPr>
      <w:r>
        <w:rPr>
          <w:rFonts w:cs="Arial"/>
          <w:bCs/>
          <w:szCs w:val="20"/>
        </w:rPr>
        <w:t>Almi quedó muy satisfecha con el proceso. Es por eso que TGW también recibió el encargo de ser el "Partner of Choice" de Almi en el camino hacia un "futuro verde". El impulso inicial fue de los expertos de modernización de TGW, que presentaron un diseño de varios componentes: cambio de un transelevador, cambio de la mecatrónica del sistema de vigas elevadoras Commissioner, modernización de tres carros de transporte y un elevador de correas y la implementación de una nueva tecnología de control.</w:t>
      </w:r>
    </w:p>
    <w:p w:rsidR="00484C2B" w:rsidRPr="003328BA" w:rsidRDefault="00484C2B" w:rsidP="00F67286">
      <w:pPr>
        <w:spacing w:line="360" w:lineRule="auto"/>
        <w:ind w:left="0" w:right="1693"/>
        <w:rPr>
          <w:rFonts w:cs="Arial"/>
          <w:bCs/>
          <w:szCs w:val="20"/>
        </w:rPr>
      </w:pPr>
    </w:p>
    <w:p w:rsidR="00176D8A" w:rsidRDefault="00484C2B" w:rsidP="00F67286">
      <w:pPr>
        <w:spacing w:line="360" w:lineRule="auto"/>
        <w:ind w:left="0" w:right="1693"/>
        <w:rPr>
          <w:rFonts w:cs="Arial"/>
          <w:bCs/>
          <w:szCs w:val="20"/>
        </w:rPr>
      </w:pPr>
      <w:r>
        <w:rPr>
          <w:rFonts w:cs="Arial"/>
          <w:bCs/>
          <w:szCs w:val="20"/>
        </w:rPr>
        <w:t xml:space="preserve">Los expertos en modernización expusieron sus sugerencias a Almi en vista de que algunos componentes eran más antiguos. Existía el riesgo de que fueran más caros o no se pudieran conseguir, en el peor de los casos. TGW elaboró varias versiones y Almi seleccionó una de ellas. "En el ámbito de la modernización, cada proyecto es específico para el cliente, por eso es tan importante la experiencia", destaca Josef Fritz, Sales Project Manager de TGW. </w:t>
      </w:r>
    </w:p>
    <w:p w:rsidR="001D6321" w:rsidRDefault="001D6321" w:rsidP="00F67286">
      <w:pPr>
        <w:spacing w:line="360" w:lineRule="auto"/>
        <w:ind w:left="0" w:right="1693"/>
        <w:rPr>
          <w:rFonts w:cs="Arial"/>
          <w:bCs/>
          <w:szCs w:val="20"/>
        </w:rPr>
      </w:pPr>
    </w:p>
    <w:p w:rsidR="001D6321" w:rsidRPr="001D6321" w:rsidRDefault="001D6321" w:rsidP="00F67286">
      <w:pPr>
        <w:spacing w:line="360" w:lineRule="auto"/>
        <w:ind w:left="0" w:right="1693"/>
        <w:rPr>
          <w:rFonts w:cs="Arial"/>
          <w:b/>
          <w:bCs/>
          <w:szCs w:val="20"/>
        </w:rPr>
      </w:pPr>
      <w:r>
        <w:rPr>
          <w:rFonts w:cs="Arial"/>
          <w:b/>
          <w:bCs/>
          <w:szCs w:val="20"/>
        </w:rPr>
        <w:t>Transelevadores eficientes Mustang E+</w:t>
      </w:r>
    </w:p>
    <w:p w:rsidR="00176D8A" w:rsidRPr="003328BA" w:rsidRDefault="00176D8A" w:rsidP="00F67286">
      <w:pPr>
        <w:spacing w:line="360" w:lineRule="auto"/>
        <w:ind w:left="0" w:right="1693"/>
        <w:rPr>
          <w:rFonts w:cs="Arial"/>
          <w:bCs/>
          <w:szCs w:val="20"/>
        </w:rPr>
      </w:pPr>
    </w:p>
    <w:p w:rsidR="008B727F" w:rsidRDefault="00176D8A" w:rsidP="00C32C8B">
      <w:pPr>
        <w:spacing w:line="360" w:lineRule="auto"/>
        <w:ind w:left="0" w:right="1693"/>
        <w:rPr>
          <w:rFonts w:cs="Arial"/>
          <w:bCs/>
          <w:szCs w:val="20"/>
        </w:rPr>
      </w:pPr>
      <w:r>
        <w:rPr>
          <w:rFonts w:cs="Arial"/>
          <w:bCs/>
          <w:szCs w:val="20"/>
        </w:rPr>
        <w:t xml:space="preserve">Una parte de la inversión de seis cifras fue el cambio del transelevador. TGW introdujo el dinámico transelevador Mustang E+ de última generación. Sus ventajas: pesa menos que los equipos anteriores, tiene un control moderno y no cuenta con tecnología antipéndulo. Eso permite ahorrar energía. La modernización es como la cocina: la mejor receta no vale de nada si el cocinero no tiene experiencia. TGW tiene más de medio siglo </w:t>
      </w:r>
      <w:r>
        <w:rPr>
          <w:rFonts w:cs="Arial"/>
          <w:bCs/>
          <w:szCs w:val="20"/>
        </w:rPr>
        <w:lastRenderedPageBreak/>
        <w:t>de experiencia y está creciendo especialmente en el segmento de la modernización. En la actualidad, el integrador de sistemas desarrolla al año cinco veces más proyectos que hace diez años, y afronta cada proyecto de forma sistemática. "Parar la instalación es un desastre para cualquier responsable de la cadena de suministro", afirma Markus Kammerhofer, Director Sales Retrofit de TGW. A lo largo de los años, TGW ha combinado siete factores de éxito:</w:t>
      </w:r>
    </w:p>
    <w:p w:rsidR="00C32C8B" w:rsidRPr="008B727F" w:rsidRDefault="008B727F" w:rsidP="008B727F">
      <w:pPr>
        <w:tabs>
          <w:tab w:val="left" w:pos="1534"/>
        </w:tabs>
        <w:spacing w:line="360" w:lineRule="auto"/>
        <w:ind w:left="0" w:right="1693"/>
        <w:rPr>
          <w:rFonts w:cs="Arial"/>
          <w:bCs/>
          <w:sz w:val="18"/>
          <w:szCs w:val="18"/>
        </w:rPr>
      </w:pPr>
      <w:r>
        <w:rPr>
          <w:rFonts w:cs="Arial"/>
          <w:bCs/>
          <w:szCs w:val="20"/>
        </w:rPr>
        <w:tab/>
      </w:r>
    </w:p>
    <w:p w:rsidR="00C32C8B" w:rsidRPr="003328BA" w:rsidRDefault="00C32C8B" w:rsidP="008B727F">
      <w:pPr>
        <w:pStyle w:val="Listenabsatz"/>
        <w:numPr>
          <w:ilvl w:val="0"/>
          <w:numId w:val="24"/>
        </w:numPr>
        <w:spacing w:line="240" w:lineRule="auto"/>
        <w:ind w:left="714" w:right="1695" w:hanging="357"/>
        <w:rPr>
          <w:rFonts w:cs="Arial"/>
          <w:bCs/>
          <w:szCs w:val="20"/>
        </w:rPr>
      </w:pPr>
      <w:r>
        <w:rPr>
          <w:rFonts w:cs="Arial"/>
          <w:bCs/>
          <w:szCs w:val="20"/>
        </w:rPr>
        <w:t>Tener en cuenta el tiempo de ejecución y comenzar a tiempo</w:t>
      </w:r>
    </w:p>
    <w:p w:rsidR="00C32C8B" w:rsidRPr="003328BA" w:rsidRDefault="00C32C8B" w:rsidP="008B727F">
      <w:pPr>
        <w:pStyle w:val="Listenabsatz"/>
        <w:numPr>
          <w:ilvl w:val="0"/>
          <w:numId w:val="24"/>
        </w:numPr>
        <w:spacing w:line="240" w:lineRule="auto"/>
        <w:ind w:left="714" w:right="1695" w:hanging="357"/>
        <w:rPr>
          <w:rFonts w:cs="Arial"/>
          <w:bCs/>
          <w:szCs w:val="20"/>
        </w:rPr>
      </w:pPr>
      <w:r>
        <w:rPr>
          <w:rFonts w:cs="Arial"/>
          <w:bCs/>
          <w:szCs w:val="20"/>
        </w:rPr>
        <w:t xml:space="preserve">Escoger un socio y un jefe de proyecto que tengan experiencia </w:t>
      </w:r>
    </w:p>
    <w:p w:rsidR="00C32C8B" w:rsidRPr="003328BA" w:rsidRDefault="00C32C8B" w:rsidP="008B727F">
      <w:pPr>
        <w:pStyle w:val="Listenabsatz"/>
        <w:numPr>
          <w:ilvl w:val="0"/>
          <w:numId w:val="24"/>
        </w:numPr>
        <w:spacing w:line="240" w:lineRule="auto"/>
        <w:ind w:left="714" w:right="1695" w:hanging="357"/>
        <w:rPr>
          <w:rFonts w:cs="Arial"/>
          <w:bCs/>
          <w:szCs w:val="20"/>
        </w:rPr>
      </w:pPr>
      <w:r>
        <w:rPr>
          <w:rFonts w:cs="Arial"/>
          <w:bCs/>
          <w:szCs w:val="20"/>
        </w:rPr>
        <w:t xml:space="preserve">Elaborar un plan estructurado </w:t>
      </w:r>
    </w:p>
    <w:p w:rsidR="00C32C8B" w:rsidRPr="003328BA" w:rsidRDefault="00C32C8B" w:rsidP="008B727F">
      <w:pPr>
        <w:pStyle w:val="Listenabsatz"/>
        <w:numPr>
          <w:ilvl w:val="0"/>
          <w:numId w:val="24"/>
        </w:numPr>
        <w:spacing w:line="240" w:lineRule="auto"/>
        <w:ind w:left="714" w:right="1695" w:hanging="357"/>
        <w:rPr>
          <w:rFonts w:cs="Arial"/>
          <w:bCs/>
          <w:szCs w:val="20"/>
        </w:rPr>
      </w:pPr>
      <w:r>
        <w:rPr>
          <w:rFonts w:cs="Arial"/>
          <w:bCs/>
          <w:szCs w:val="20"/>
        </w:rPr>
        <w:t>Integrar soluciones de retrofit desarrolladas específicamente para ello</w:t>
      </w:r>
    </w:p>
    <w:p w:rsidR="00C32C8B" w:rsidRPr="003328BA" w:rsidRDefault="00C32C8B" w:rsidP="008B727F">
      <w:pPr>
        <w:pStyle w:val="Listenabsatz"/>
        <w:numPr>
          <w:ilvl w:val="0"/>
          <w:numId w:val="24"/>
        </w:numPr>
        <w:spacing w:line="240" w:lineRule="auto"/>
        <w:ind w:left="714" w:right="1695" w:hanging="357"/>
        <w:rPr>
          <w:rFonts w:cs="Arial"/>
          <w:bCs/>
          <w:szCs w:val="20"/>
        </w:rPr>
      </w:pPr>
      <w:r>
        <w:rPr>
          <w:rFonts w:cs="Arial"/>
          <w:bCs/>
          <w:szCs w:val="20"/>
        </w:rPr>
        <w:t xml:space="preserve">Elaborar un pliego de especificaciones detallado </w:t>
      </w:r>
    </w:p>
    <w:p w:rsidR="00C32C8B" w:rsidRPr="003328BA" w:rsidRDefault="00C32C8B" w:rsidP="008B727F">
      <w:pPr>
        <w:pStyle w:val="Listenabsatz"/>
        <w:numPr>
          <w:ilvl w:val="0"/>
          <w:numId w:val="24"/>
        </w:numPr>
        <w:spacing w:line="240" w:lineRule="auto"/>
        <w:ind w:left="714" w:right="1695" w:hanging="357"/>
        <w:rPr>
          <w:rFonts w:cs="Arial"/>
          <w:bCs/>
          <w:szCs w:val="20"/>
        </w:rPr>
      </w:pPr>
      <w:r>
        <w:rPr>
          <w:rFonts w:cs="Arial"/>
          <w:bCs/>
          <w:szCs w:val="20"/>
        </w:rPr>
        <w:t>Definir con precisión los pasos de migración</w:t>
      </w:r>
    </w:p>
    <w:p w:rsidR="005847C6" w:rsidRPr="003328BA" w:rsidRDefault="00C32C8B" w:rsidP="008B727F">
      <w:pPr>
        <w:pStyle w:val="Listenabsatz"/>
        <w:numPr>
          <w:ilvl w:val="0"/>
          <w:numId w:val="24"/>
        </w:numPr>
        <w:spacing w:line="240" w:lineRule="auto"/>
        <w:ind w:left="714" w:right="1695" w:hanging="357"/>
        <w:rPr>
          <w:rFonts w:cs="Arial"/>
          <w:bCs/>
          <w:szCs w:val="20"/>
        </w:rPr>
      </w:pPr>
      <w:r>
        <w:rPr>
          <w:rFonts w:cs="Arial"/>
          <w:bCs/>
          <w:szCs w:val="20"/>
        </w:rPr>
        <w:t>Formar al personal de forma intensiva</w:t>
      </w:r>
    </w:p>
    <w:p w:rsidR="00C32C8B" w:rsidRDefault="00C32C8B" w:rsidP="00F67286">
      <w:pPr>
        <w:spacing w:line="360" w:lineRule="auto"/>
        <w:ind w:left="0" w:right="1693"/>
        <w:rPr>
          <w:rFonts w:cs="Arial"/>
          <w:bCs/>
          <w:sz w:val="18"/>
          <w:szCs w:val="18"/>
        </w:rPr>
      </w:pPr>
    </w:p>
    <w:p w:rsidR="00FB7C90" w:rsidRPr="008B727F" w:rsidRDefault="00FB7C90" w:rsidP="00F67286">
      <w:pPr>
        <w:spacing w:line="360" w:lineRule="auto"/>
        <w:ind w:left="0" w:right="1693"/>
        <w:rPr>
          <w:rFonts w:cs="Arial"/>
          <w:bCs/>
          <w:sz w:val="18"/>
          <w:szCs w:val="18"/>
        </w:rPr>
      </w:pPr>
    </w:p>
    <w:p w:rsidR="00F51C70" w:rsidRPr="00F51C70" w:rsidRDefault="00B23A96" w:rsidP="00F67286">
      <w:pPr>
        <w:spacing w:line="360" w:lineRule="auto"/>
        <w:ind w:left="0" w:right="1693"/>
        <w:rPr>
          <w:rFonts w:cs="Arial"/>
          <w:b/>
          <w:bCs/>
          <w:szCs w:val="20"/>
        </w:rPr>
      </w:pPr>
      <w:r>
        <w:rPr>
          <w:rFonts w:cs="Arial"/>
          <w:b/>
          <w:bCs/>
          <w:szCs w:val="20"/>
        </w:rPr>
        <w:t>Planificación y preparación como factores de éxito</w:t>
      </w:r>
    </w:p>
    <w:p w:rsidR="00F51C70" w:rsidRPr="008B727F" w:rsidRDefault="00F51C70" w:rsidP="00F67286">
      <w:pPr>
        <w:spacing w:line="360" w:lineRule="auto"/>
        <w:ind w:left="0" w:right="1693"/>
        <w:rPr>
          <w:rFonts w:cs="Arial"/>
          <w:bCs/>
          <w:sz w:val="18"/>
          <w:szCs w:val="18"/>
        </w:rPr>
      </w:pPr>
    </w:p>
    <w:p w:rsidR="005A593A" w:rsidRPr="003328BA" w:rsidRDefault="00A865BA" w:rsidP="00F67286">
      <w:pPr>
        <w:spacing w:line="360" w:lineRule="auto"/>
        <w:ind w:left="0" w:right="1693"/>
        <w:rPr>
          <w:rFonts w:cs="Arial"/>
          <w:bCs/>
          <w:szCs w:val="20"/>
        </w:rPr>
      </w:pPr>
      <w:r>
        <w:rPr>
          <w:rFonts w:cs="Arial"/>
          <w:bCs/>
          <w:szCs w:val="20"/>
        </w:rPr>
        <w:t xml:space="preserve">A principios de 2021 se produjo la primera reunión, en verano, el equipo elaboró un plan de proyecto según el pliego de condiciones. Luego, los expertos definieron los pasos para la migración y el estricto cronograma. El cronograma impuso grandes exigencias a todos los implicados. El objetivo: todo el proyecto debía estar acabado a principios del siguiente año para reducir la inactividad todo lo posible. </w:t>
      </w:r>
    </w:p>
    <w:p w:rsidR="00AC4563" w:rsidRPr="008B727F" w:rsidRDefault="00AC4563" w:rsidP="00F67286">
      <w:pPr>
        <w:spacing w:line="360" w:lineRule="auto"/>
        <w:ind w:left="0" w:right="1693"/>
        <w:rPr>
          <w:rFonts w:cs="Arial"/>
          <w:bCs/>
          <w:sz w:val="18"/>
          <w:szCs w:val="18"/>
        </w:rPr>
      </w:pPr>
    </w:p>
    <w:p w:rsidR="003806C2" w:rsidRDefault="00AC4563" w:rsidP="00F67286">
      <w:pPr>
        <w:spacing w:line="360" w:lineRule="auto"/>
        <w:ind w:left="0" w:right="1693"/>
        <w:rPr>
          <w:rFonts w:cs="Arial"/>
          <w:bCs/>
          <w:szCs w:val="20"/>
        </w:rPr>
      </w:pPr>
      <w:r>
        <w:rPr>
          <w:rFonts w:cs="Arial"/>
          <w:bCs/>
          <w:szCs w:val="20"/>
        </w:rPr>
        <w:t xml:space="preserve">El 21 de diciembre, los expertos de TGW iniciaron las tareas en Almi y, sin contar con Nochevieja, estuvieron trabajando hasta el 7 de enero de 2022. Sin embargo, el plazo no era el único desafío. "Todos los pasos hasta la puesta en marcha el 7 de enero debían estar planificados al detalle", explica Fritz. El proyecto no se pudo finalizar por completo el día de Reyes como se había planeado. Pero no por TGW. A causa de la pandemia de coronavirus y los cuellos de botella de las cadenas de suministro de materiales, el cambio de hardware se realizó en abril, en los fines de semana. </w:t>
      </w:r>
    </w:p>
    <w:p w:rsidR="001F49D5" w:rsidRPr="008B727F" w:rsidRDefault="001F49D5" w:rsidP="00F67286">
      <w:pPr>
        <w:spacing w:line="360" w:lineRule="auto"/>
        <w:ind w:left="0" w:right="1693"/>
        <w:rPr>
          <w:rFonts w:cs="Arial"/>
          <w:bCs/>
          <w:sz w:val="18"/>
          <w:szCs w:val="18"/>
        </w:rPr>
      </w:pPr>
    </w:p>
    <w:p w:rsidR="003806C2" w:rsidRPr="003806C2" w:rsidRDefault="003806C2" w:rsidP="00F67286">
      <w:pPr>
        <w:spacing w:line="360" w:lineRule="auto"/>
        <w:ind w:left="0" w:right="1693"/>
        <w:rPr>
          <w:rFonts w:cs="Arial"/>
          <w:b/>
          <w:bCs/>
          <w:szCs w:val="20"/>
        </w:rPr>
      </w:pPr>
      <w:r>
        <w:rPr>
          <w:rFonts w:cs="Arial"/>
          <w:b/>
          <w:bCs/>
          <w:szCs w:val="20"/>
        </w:rPr>
        <w:t>Ahorro de energía de hasta un 20 %</w:t>
      </w:r>
    </w:p>
    <w:p w:rsidR="003806C2" w:rsidRPr="008B727F" w:rsidRDefault="008B727F" w:rsidP="008B727F">
      <w:pPr>
        <w:tabs>
          <w:tab w:val="left" w:pos="2229"/>
        </w:tabs>
        <w:spacing w:line="360" w:lineRule="auto"/>
        <w:ind w:left="0" w:right="1693"/>
        <w:rPr>
          <w:rFonts w:cs="Arial"/>
          <w:bCs/>
          <w:sz w:val="18"/>
          <w:szCs w:val="18"/>
        </w:rPr>
      </w:pPr>
      <w:r>
        <w:rPr>
          <w:rFonts w:cs="Arial"/>
          <w:bCs/>
          <w:szCs w:val="20"/>
        </w:rPr>
        <w:tab/>
      </w:r>
    </w:p>
    <w:p w:rsidR="00E852FE" w:rsidRPr="003328BA" w:rsidRDefault="001F49D5" w:rsidP="00C87F97">
      <w:pPr>
        <w:spacing w:line="360" w:lineRule="auto"/>
        <w:ind w:left="0" w:right="1693"/>
        <w:rPr>
          <w:rFonts w:cs="Arial"/>
          <w:bCs/>
          <w:szCs w:val="20"/>
        </w:rPr>
      </w:pPr>
      <w:r>
        <w:rPr>
          <w:rFonts w:cs="Arial"/>
          <w:bCs/>
          <w:szCs w:val="20"/>
        </w:rPr>
        <w:t xml:space="preserve">A pesar de las difíciles condiciones marco, el proyecto concluyó con éxito a finales de abril de 2022. Lackinger, el director de producción de Almi, está muy satisfecho con el resultado. Por una parte, la modernización ha aumentado la disponibilidad de la instalación y, por otro, las piezas de repuesto para los trabajos de mantenimiento son más económicas. La estrategia de logística verde de la empresa también ha dado un paso importante, entre otros motivos, gracias al cumplimiento de la auditoría energética de ISO 50002. "En la intralogística, es posible conseguir un ahorro de energía de hasta el 20 %. Antes, la energía de frenado del transelevador que no se necesitaba se perdía. </w:t>
      </w:r>
      <w:r>
        <w:rPr>
          <w:rFonts w:cs="Arial"/>
          <w:bCs/>
          <w:szCs w:val="20"/>
        </w:rPr>
        <w:lastRenderedPageBreak/>
        <w:t>Ahora, la devolvemos a la red. Gracias a la modernización con nuestro socio TGW, miramos hacia un futuro verde con confianza".</w:t>
      </w:r>
    </w:p>
    <w:p w:rsidR="00C27AD9" w:rsidRPr="003328BA" w:rsidRDefault="00C27AD9" w:rsidP="001D527F">
      <w:pPr>
        <w:spacing w:line="240" w:lineRule="auto"/>
        <w:ind w:left="0" w:right="1693"/>
        <w:rPr>
          <w:rFonts w:cs="Arial"/>
          <w:b/>
          <w:sz w:val="16"/>
          <w:szCs w:val="16"/>
        </w:rPr>
      </w:pPr>
      <w:r>
        <w:rPr>
          <w:rFonts w:cs="Arial"/>
          <w:b/>
          <w:sz w:val="16"/>
          <w:szCs w:val="16"/>
        </w:rPr>
        <w:t>Acerca de Almi</w:t>
      </w:r>
    </w:p>
    <w:p w:rsidR="00C27AD9" w:rsidRPr="003328BA" w:rsidRDefault="00C27AD9" w:rsidP="001D527F">
      <w:pPr>
        <w:spacing w:line="240" w:lineRule="auto"/>
        <w:ind w:left="0" w:right="1693"/>
        <w:rPr>
          <w:rFonts w:cs="Arial"/>
          <w:bCs/>
          <w:sz w:val="16"/>
          <w:szCs w:val="16"/>
        </w:rPr>
      </w:pPr>
    </w:p>
    <w:p w:rsidR="00C27AD9" w:rsidRPr="003328BA" w:rsidRDefault="00E852FE" w:rsidP="001D527F">
      <w:pPr>
        <w:spacing w:line="240" w:lineRule="auto"/>
        <w:ind w:left="0" w:right="1693"/>
        <w:rPr>
          <w:rFonts w:cs="Arial"/>
          <w:bCs/>
          <w:sz w:val="16"/>
          <w:szCs w:val="16"/>
        </w:rPr>
      </w:pPr>
      <w:r>
        <w:rPr>
          <w:rFonts w:cs="Arial"/>
          <w:bCs/>
          <w:sz w:val="16"/>
          <w:szCs w:val="16"/>
        </w:rPr>
        <w:t xml:space="preserve">Almi GmbH, con sede en Oftering (Alta Austria), ha pasado en 90 años de ser una pequeña tienda a convertirse en un fabricante internacional de mezclas de especias de alta calidad y de aditivos para la producción de salchichas, carne y pescado. Con más de 300 empleados en Oftering y unos 592 en todo el mundo, la empresa familiar factura unos 132 millones de euros anuales y está presente en más de 62 países con oficina propia o a través de representantes comerciales. </w:t>
      </w:r>
    </w:p>
    <w:p w:rsidR="00473B5A" w:rsidRPr="006904AD" w:rsidRDefault="00473B5A" w:rsidP="001D527F">
      <w:pPr>
        <w:spacing w:line="240" w:lineRule="auto"/>
        <w:ind w:left="0" w:right="1693"/>
        <w:rPr>
          <w:rFonts w:cs="Arial"/>
          <w:szCs w:val="20"/>
        </w:rPr>
      </w:pPr>
    </w:p>
    <w:p w:rsidR="00BC7952" w:rsidRPr="00627D9A" w:rsidRDefault="00BC7952" w:rsidP="001D527F">
      <w:pPr>
        <w:spacing w:line="240" w:lineRule="auto"/>
        <w:ind w:left="0" w:right="1693"/>
        <w:rPr>
          <w:rStyle w:val="Hyperlink"/>
          <w:b/>
          <w:color w:val="auto"/>
          <w:sz w:val="16"/>
          <w:szCs w:val="16"/>
          <w:u w:val="none"/>
          <w:lang w:val="en-US"/>
        </w:rPr>
      </w:pPr>
      <w:r>
        <w:rPr>
          <w:rStyle w:val="Hyperlink"/>
          <w:b/>
          <w:color w:val="auto"/>
          <w:sz w:val="16"/>
          <w:szCs w:val="16"/>
          <w:u w:val="none"/>
        </w:rPr>
        <w:t>Acerca de TGW Logistics Group:</w:t>
      </w:r>
    </w:p>
    <w:p w:rsidR="00BC7952" w:rsidRPr="003328BA" w:rsidRDefault="00BC7952" w:rsidP="001D527F">
      <w:pPr>
        <w:spacing w:line="240" w:lineRule="auto"/>
        <w:ind w:left="0" w:right="1695"/>
        <w:rPr>
          <w:rStyle w:val="Hyperlink"/>
          <w:color w:val="auto"/>
          <w:sz w:val="16"/>
          <w:szCs w:val="16"/>
          <w:u w:val="none"/>
        </w:rPr>
      </w:pPr>
      <w:r>
        <w:rPr>
          <w:rStyle w:val="Hyperlink"/>
          <w:color w:val="auto"/>
          <w:sz w:val="16"/>
          <w:szCs w:val="16"/>
          <w:u w:val="none"/>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rsidR="00BC7952" w:rsidRPr="003328BA" w:rsidRDefault="00BC7952" w:rsidP="001D527F">
      <w:pPr>
        <w:spacing w:line="240" w:lineRule="auto"/>
        <w:ind w:left="0" w:right="1695"/>
        <w:rPr>
          <w:rStyle w:val="Hyperlink"/>
          <w:color w:val="auto"/>
          <w:sz w:val="16"/>
          <w:szCs w:val="16"/>
          <w:u w:val="none"/>
        </w:rPr>
      </w:pPr>
    </w:p>
    <w:p w:rsidR="00BC7952" w:rsidRPr="003328BA" w:rsidRDefault="00BC7952" w:rsidP="001D527F">
      <w:pPr>
        <w:spacing w:line="240" w:lineRule="auto"/>
        <w:ind w:left="0" w:right="1695"/>
        <w:rPr>
          <w:rStyle w:val="Hyperlink"/>
          <w:color w:val="auto"/>
          <w:sz w:val="16"/>
          <w:szCs w:val="16"/>
          <w:u w:val="none"/>
        </w:rPr>
      </w:pPr>
      <w:r>
        <w:rPr>
          <w:rStyle w:val="Hyperlink"/>
          <w:color w:val="auto"/>
          <w:sz w:val="16"/>
          <w:szCs w:val="16"/>
          <w:u w:val="none"/>
        </w:rPr>
        <w:t>TGW Logistics Group tiene oficinas en Europa, China y EE. UU. y emplea a más de 4.000 personas en todo el mundo. En el ejercicio 2020/2021, la empresa obtuvo una facturación total de 813 millones de euros.</w:t>
      </w:r>
    </w:p>
    <w:p w:rsidR="00BC7952" w:rsidRPr="00D1043D" w:rsidRDefault="00BC7952" w:rsidP="00BC7952">
      <w:pPr>
        <w:spacing w:line="240" w:lineRule="auto"/>
        <w:ind w:left="0" w:right="1693"/>
        <w:rPr>
          <w:rStyle w:val="Hyperlink"/>
          <w:color w:val="auto"/>
          <w:u w:val="none"/>
        </w:rPr>
      </w:pPr>
    </w:p>
    <w:p w:rsidR="001D527F" w:rsidRDefault="001D527F" w:rsidP="003328BA">
      <w:pPr>
        <w:spacing w:line="360" w:lineRule="auto"/>
        <w:ind w:left="0" w:right="1693"/>
      </w:pPr>
    </w:p>
    <w:p w:rsidR="003328BA" w:rsidRPr="00627D9A" w:rsidRDefault="001D527F" w:rsidP="003328BA">
      <w:pPr>
        <w:spacing w:line="360" w:lineRule="auto"/>
        <w:ind w:left="0" w:right="1693"/>
        <w:rPr>
          <w:lang w:val="en-US"/>
        </w:rPr>
      </w:pPr>
      <w:hyperlink r:id="rId11" w:history="1">
        <w:r w:rsidR="00EB1B5A">
          <w:rPr>
            <w:rStyle w:val="Hyperlink"/>
          </w:rPr>
          <w:t>www.tgw-group.com</w:t>
        </w:r>
      </w:hyperlink>
    </w:p>
    <w:p w:rsidR="00BC7952" w:rsidRDefault="00BC7952" w:rsidP="00BC7952">
      <w:pPr>
        <w:spacing w:line="240" w:lineRule="auto"/>
        <w:ind w:left="0" w:right="1693"/>
        <w:rPr>
          <w:rStyle w:val="Hyperlink"/>
          <w:color w:val="auto"/>
          <w:u w:val="none"/>
        </w:rPr>
      </w:pPr>
    </w:p>
    <w:p w:rsidR="00EB1B5A" w:rsidRPr="00D1043D" w:rsidRDefault="00EB1B5A" w:rsidP="00BC7952">
      <w:pPr>
        <w:spacing w:line="240" w:lineRule="auto"/>
        <w:ind w:left="0" w:right="1693"/>
        <w:rPr>
          <w:rStyle w:val="Hyperlink"/>
          <w:color w:val="auto"/>
          <w:u w:val="none"/>
        </w:rPr>
      </w:pPr>
    </w:p>
    <w:p w:rsidR="003328BA" w:rsidRPr="003328BA" w:rsidRDefault="00BC7952" w:rsidP="00BC7952">
      <w:pPr>
        <w:spacing w:line="240" w:lineRule="auto"/>
        <w:ind w:left="0" w:right="1693"/>
        <w:rPr>
          <w:rStyle w:val="Hyperlink"/>
          <w:b/>
          <w:color w:val="auto"/>
          <w:u w:val="none"/>
        </w:rPr>
      </w:pPr>
      <w:r>
        <w:rPr>
          <w:rStyle w:val="Hyperlink"/>
          <w:b/>
          <w:color w:val="auto"/>
          <w:u w:val="none"/>
        </w:rPr>
        <w:t>Ilustraciones:</w:t>
      </w:r>
    </w:p>
    <w:p w:rsidR="003328BA" w:rsidRDefault="003328BA" w:rsidP="00BC7952">
      <w:pPr>
        <w:spacing w:line="240" w:lineRule="auto"/>
        <w:ind w:left="0" w:right="1693"/>
        <w:rPr>
          <w:rStyle w:val="Hyperlink"/>
          <w:rFonts w:cs="Arial"/>
          <w:color w:val="auto"/>
          <w:u w:val="none"/>
        </w:rPr>
      </w:pPr>
      <w:r>
        <w:rPr>
          <w:rStyle w:val="Hyperlink"/>
          <w:rFonts w:cs="Arial"/>
          <w:color w:val="auto"/>
          <w:u w:val="none"/>
        </w:rPr>
        <w:t>© Almi</w:t>
      </w:r>
    </w:p>
    <w:p w:rsidR="003328BA" w:rsidRDefault="003328BA"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r>
        <w:rPr>
          <w:rStyle w:val="Hyperlink"/>
          <w:color w:val="auto"/>
          <w:u w:val="none"/>
        </w:rPr>
        <w:t>Reproducción sin comisiones previa indicación de la fuente y para notas de prensa relacionadas principalmente con TGW Logistics Group GmbH. Queda prohibida la reproducción con fines promocionales.</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b/>
          <w:color w:val="auto"/>
          <w:u w:val="none"/>
        </w:rPr>
      </w:pPr>
      <w:r>
        <w:rPr>
          <w:rStyle w:val="Hyperlink"/>
          <w:b/>
          <w:color w:val="auto"/>
          <w:u w:val="none"/>
        </w:rPr>
        <w:t>Contacto:</w:t>
      </w:r>
    </w:p>
    <w:p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rsidR="00BC7952" w:rsidRPr="00D1043D" w:rsidRDefault="00BC7952" w:rsidP="00BC7952">
      <w:pPr>
        <w:spacing w:line="240" w:lineRule="auto"/>
        <w:ind w:left="0" w:right="1693"/>
        <w:rPr>
          <w:rStyle w:val="Hyperlink"/>
          <w:color w:val="auto"/>
          <w:u w:val="none"/>
        </w:rPr>
      </w:pPr>
      <w:r>
        <w:rPr>
          <w:rStyle w:val="Hyperlink"/>
          <w:color w:val="auto"/>
          <w:u w:val="none"/>
        </w:rPr>
        <w:t>T: +43.(0)50.486-0</w:t>
      </w:r>
    </w:p>
    <w:p w:rsidR="00BC7952" w:rsidRPr="00D1043D" w:rsidRDefault="00BC7952" w:rsidP="00BC7952">
      <w:pPr>
        <w:spacing w:line="240" w:lineRule="auto"/>
        <w:ind w:left="0" w:right="1693"/>
        <w:rPr>
          <w:rStyle w:val="Hyperlink"/>
          <w:color w:val="auto"/>
          <w:u w:val="none"/>
        </w:rPr>
      </w:pPr>
      <w:r>
        <w:rPr>
          <w:rStyle w:val="Hyperlink"/>
          <w:color w:val="auto"/>
          <w:u w:val="none"/>
        </w:rPr>
        <w:t>F: +43.(0)50.486-31</w:t>
      </w:r>
    </w:p>
    <w:p w:rsidR="00BC7952" w:rsidRPr="00D1043D" w:rsidRDefault="00BC7952" w:rsidP="00BC7952">
      <w:pPr>
        <w:spacing w:line="240" w:lineRule="auto"/>
        <w:ind w:left="0" w:right="1693"/>
        <w:rPr>
          <w:rStyle w:val="Hyperlink"/>
          <w:color w:val="auto"/>
          <w:u w:val="none"/>
        </w:rPr>
      </w:pPr>
      <w:r>
        <w:rPr>
          <w:rStyle w:val="Hyperlink"/>
          <w:color w:val="auto"/>
          <w:u w:val="none"/>
        </w:rPr>
        <w:t>Correo electrónico: tgw@tgw-group.com</w:t>
      </w:r>
    </w:p>
    <w:p w:rsidR="00BC7952" w:rsidRDefault="00BC7952" w:rsidP="00BC7952">
      <w:pPr>
        <w:spacing w:line="240" w:lineRule="auto"/>
        <w:ind w:left="0" w:right="1693"/>
        <w:rPr>
          <w:rStyle w:val="Hyperlink"/>
          <w:color w:val="auto"/>
          <w:u w:val="none"/>
        </w:rPr>
      </w:pPr>
    </w:p>
    <w:p w:rsidR="00F92A0D" w:rsidRDefault="00F92A0D" w:rsidP="00BC7952">
      <w:pPr>
        <w:spacing w:line="240" w:lineRule="auto"/>
        <w:ind w:left="0" w:right="1693"/>
        <w:rPr>
          <w:rStyle w:val="Hyperlink"/>
          <w:color w:val="auto"/>
          <w:u w:val="none"/>
        </w:rPr>
      </w:pPr>
    </w:p>
    <w:p w:rsidR="00F92A0D" w:rsidRDefault="00F92A0D" w:rsidP="00BC7952">
      <w:pPr>
        <w:spacing w:line="240" w:lineRule="auto"/>
        <w:ind w:left="0" w:right="1693"/>
        <w:rPr>
          <w:rStyle w:val="Hyperlink"/>
          <w:color w:val="auto"/>
          <w:u w:val="none"/>
          <w:lang w:val="en-AU"/>
        </w:rPr>
      </w:pPr>
      <w:r>
        <w:rPr>
          <w:rStyle w:val="Hyperlink"/>
          <w:color w:val="auto"/>
          <w:u w:val="none"/>
        </w:rPr>
        <w:t>Contacto de prensa:</w:t>
      </w:r>
    </w:p>
    <w:p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rsidR="00BC7952" w:rsidRPr="00A345ED" w:rsidRDefault="00BC7952" w:rsidP="00BC7952">
      <w:pPr>
        <w:spacing w:line="240" w:lineRule="auto"/>
        <w:ind w:left="0" w:right="1693"/>
        <w:rPr>
          <w:rStyle w:val="Hyperlink"/>
          <w:color w:val="auto"/>
          <w:u w:val="none"/>
          <w:lang w:val="en-AU"/>
        </w:rPr>
      </w:pPr>
      <w:r>
        <w:rPr>
          <w:rStyle w:val="Hyperlink"/>
          <w:color w:val="auto"/>
          <w:u w:val="none"/>
        </w:rPr>
        <w:t>T: +43.(0)50.486-2267</w:t>
      </w:r>
    </w:p>
    <w:p w:rsidR="00BC7952" w:rsidRPr="00A345ED" w:rsidRDefault="00BC7952" w:rsidP="00BC7952">
      <w:pPr>
        <w:spacing w:line="240" w:lineRule="auto"/>
        <w:ind w:left="0" w:right="1693"/>
        <w:rPr>
          <w:rStyle w:val="Hyperlink"/>
          <w:color w:val="auto"/>
          <w:u w:val="none"/>
          <w:lang w:val="en-AU"/>
        </w:rPr>
      </w:pPr>
      <w:r>
        <w:rPr>
          <w:rStyle w:val="Hyperlink"/>
          <w:color w:val="auto"/>
          <w:u w:val="none"/>
        </w:rPr>
        <w:t>M: +43.(0)664.88459713</w:t>
      </w:r>
    </w:p>
    <w:p w:rsidR="00BC7952" w:rsidRPr="00A345ED" w:rsidRDefault="00BC7952" w:rsidP="00BC7952">
      <w:pPr>
        <w:spacing w:line="240" w:lineRule="auto"/>
        <w:ind w:left="0" w:right="1693"/>
        <w:rPr>
          <w:lang w:val="en-AU"/>
        </w:rPr>
      </w:pPr>
      <w:r>
        <w:rPr>
          <w:rStyle w:val="Hyperlink"/>
          <w:color w:val="auto"/>
          <w:u w:val="none"/>
        </w:rPr>
        <w:t>alexander.tahedl@tgw-group.com</w:t>
      </w:r>
    </w:p>
    <w:p w:rsidR="00BC7952" w:rsidRDefault="00BC7952" w:rsidP="00BC7952">
      <w:pPr>
        <w:spacing w:line="240" w:lineRule="auto"/>
        <w:ind w:left="0" w:right="1693"/>
        <w:rPr>
          <w:rStyle w:val="Hyperlink"/>
          <w:color w:val="auto"/>
          <w:u w:val="none"/>
          <w:lang w:val="en-AU"/>
        </w:rPr>
      </w:pPr>
    </w:p>
    <w:p w:rsidR="00F92A0D" w:rsidRPr="00A345ED" w:rsidRDefault="00F92A0D" w:rsidP="00BC7952">
      <w:pPr>
        <w:spacing w:line="240" w:lineRule="auto"/>
        <w:ind w:left="0" w:right="1693"/>
        <w:rPr>
          <w:rStyle w:val="Hyperlink"/>
          <w:color w:val="auto"/>
          <w:u w:val="none"/>
          <w:lang w:val="en-AU"/>
        </w:rPr>
      </w:pP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rsidR="00BC7952" w:rsidRPr="00460F45" w:rsidRDefault="00BC7952" w:rsidP="00BC7952">
      <w:pPr>
        <w:spacing w:line="240" w:lineRule="auto"/>
        <w:ind w:left="0" w:right="1693"/>
        <w:rPr>
          <w:rStyle w:val="Hyperlink"/>
          <w:color w:val="auto"/>
          <w:u w:val="none"/>
        </w:rPr>
      </w:pPr>
      <w:r>
        <w:rPr>
          <w:rStyle w:val="Hyperlink"/>
          <w:color w:val="auto"/>
          <w:u w:val="none"/>
        </w:rPr>
        <w:t>T: +43.(0)50.486-1382</w:t>
      </w:r>
    </w:p>
    <w:p w:rsidR="00BC7952" w:rsidRPr="00460F45" w:rsidRDefault="00BC7952" w:rsidP="00BC7952">
      <w:pPr>
        <w:spacing w:line="240" w:lineRule="auto"/>
        <w:ind w:left="0" w:right="1693"/>
        <w:rPr>
          <w:rStyle w:val="Hyperlink"/>
          <w:color w:val="auto"/>
          <w:u w:val="none"/>
        </w:rPr>
      </w:pPr>
      <w:r>
        <w:rPr>
          <w:rStyle w:val="Hyperlink"/>
          <w:color w:val="auto"/>
          <w:u w:val="none"/>
        </w:rPr>
        <w:t>M: +43.(0)664.8187423</w:t>
      </w:r>
    </w:p>
    <w:p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rsidR="00BC7952" w:rsidRPr="00460F45" w:rsidRDefault="00BC7952" w:rsidP="00BC7952">
      <w:pPr>
        <w:spacing w:line="240" w:lineRule="auto"/>
        <w:ind w:left="0" w:right="1693"/>
        <w:rPr>
          <w:rStyle w:val="Hyperlink"/>
          <w:color w:val="auto"/>
          <w:u w:val="none"/>
        </w:rPr>
      </w:pPr>
    </w:p>
    <w:p w:rsidR="00BC7952" w:rsidRPr="00460F45" w:rsidRDefault="00BC7952" w:rsidP="00BC7952">
      <w:pPr>
        <w:spacing w:line="240" w:lineRule="auto"/>
        <w:ind w:left="0" w:right="1693"/>
      </w:pPr>
    </w:p>
    <w:p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24" w:rsidRDefault="00A34524" w:rsidP="00764006">
      <w:pPr>
        <w:spacing w:line="240" w:lineRule="auto"/>
      </w:pPr>
      <w:r>
        <w:separator/>
      </w:r>
    </w:p>
  </w:endnote>
  <w:endnote w:type="continuationSeparator" w:id="0">
    <w:p w:rsidR="00A34524" w:rsidRDefault="00A3452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rsidTr="00A345ED">
      <w:tc>
        <w:tcPr>
          <w:tcW w:w="6474" w:type="dxa"/>
        </w:tcPr>
        <w:p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B72812" w:rsidRPr="00C424EA" w:rsidRDefault="00B72812" w:rsidP="00C424EA">
          <w:pPr>
            <w:pStyle w:val="Fuzeile"/>
            <w:rPr>
              <w:sz w:val="16"/>
              <w:szCs w:val="16"/>
            </w:rPr>
          </w:pPr>
        </w:p>
      </w:tc>
      <w:tc>
        <w:tcPr>
          <w:tcW w:w="283" w:type="dxa"/>
          <w:tcBorders>
            <w:left w:val="single" w:sz="12" w:space="0" w:color="C00418" w:themeColor="accent1"/>
          </w:tcBorders>
        </w:tcPr>
        <w:p w:rsidR="00B72812" w:rsidRPr="00C424EA" w:rsidRDefault="00B72812" w:rsidP="00C424EA">
          <w:pPr>
            <w:pStyle w:val="Fuzeile"/>
            <w:rPr>
              <w:sz w:val="16"/>
              <w:szCs w:val="16"/>
            </w:rPr>
          </w:pPr>
        </w:p>
      </w:tc>
      <w:tc>
        <w:tcPr>
          <w:tcW w:w="2438" w:type="dxa"/>
          <w:vAlign w:val="center"/>
        </w:tcPr>
        <w:p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EE1589">
            <w:rPr>
              <w:noProof/>
              <w:sz w:val="16"/>
              <w:szCs w:val="16"/>
            </w:rPr>
            <w:t>4</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EE1589">
            <w:rPr>
              <w:noProof/>
              <w:sz w:val="16"/>
              <w:szCs w:val="16"/>
            </w:rPr>
            <w:t>4</w:t>
          </w:r>
          <w:r>
            <w:fldChar w:fldCharType="end"/>
          </w:r>
        </w:p>
      </w:tc>
    </w:tr>
  </w:tbl>
  <w:p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24" w:rsidRDefault="00A34524" w:rsidP="00764006">
      <w:pPr>
        <w:spacing w:line="240" w:lineRule="auto"/>
      </w:pPr>
      <w:r>
        <w:separator/>
      </w:r>
    </w:p>
  </w:footnote>
  <w:footnote w:type="continuationSeparator" w:id="0">
    <w:p w:rsidR="00A34524" w:rsidRDefault="00A3452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12" w:rsidRDefault="00B72812" w:rsidP="00C54F6A">
    <w:pPr>
      <w:pStyle w:val="Dokumententitel"/>
    </w:pPr>
  </w:p>
  <w:p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3D54F2"/>
    <w:multiLevelType w:val="hybridMultilevel"/>
    <w:tmpl w:val="5770DA2A"/>
    <w:lvl w:ilvl="0" w:tplc="846A42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4F721153"/>
    <w:multiLevelType w:val="hybridMultilevel"/>
    <w:tmpl w:val="3FB09714"/>
    <w:lvl w:ilvl="0" w:tplc="FC9ECB2E">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9F5451A"/>
    <w:multiLevelType w:val="hybridMultilevel"/>
    <w:tmpl w:val="8CCC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2"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21"/>
  </w:num>
  <w:num w:numId="5">
    <w:abstractNumId w:val="23"/>
  </w:num>
  <w:num w:numId="6">
    <w:abstractNumId w:val="4"/>
  </w:num>
  <w:num w:numId="7">
    <w:abstractNumId w:val="1"/>
  </w:num>
  <w:num w:numId="8">
    <w:abstractNumId w:val="19"/>
  </w:num>
  <w:num w:numId="9">
    <w:abstractNumId w:val="6"/>
  </w:num>
  <w:num w:numId="10">
    <w:abstractNumId w:val="24"/>
  </w:num>
  <w:num w:numId="11">
    <w:abstractNumId w:val="11"/>
  </w:num>
  <w:num w:numId="12">
    <w:abstractNumId w:val="7"/>
  </w:num>
  <w:num w:numId="13">
    <w:abstractNumId w:val="5"/>
  </w:num>
  <w:num w:numId="14">
    <w:abstractNumId w:val="18"/>
  </w:num>
  <w:num w:numId="15">
    <w:abstractNumId w:val="2"/>
  </w:num>
  <w:num w:numId="16">
    <w:abstractNumId w:val="3"/>
  </w:num>
  <w:num w:numId="17">
    <w:abstractNumId w:val="0"/>
  </w:num>
  <w:num w:numId="18">
    <w:abstractNumId w:val="8"/>
  </w:num>
  <w:num w:numId="19">
    <w:abstractNumId w:val="10"/>
  </w:num>
  <w:num w:numId="20">
    <w:abstractNumId w:val="22"/>
  </w:num>
  <w:num w:numId="21">
    <w:abstractNumId w:val="13"/>
  </w:num>
  <w:num w:numId="22">
    <w:abstractNumId w:val="15"/>
  </w:num>
  <w:num w:numId="23">
    <w:abstractNumId w:val="12"/>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1DD4"/>
    <w:rsid w:val="00002AC7"/>
    <w:rsid w:val="00006ADD"/>
    <w:rsid w:val="00007FC6"/>
    <w:rsid w:val="00010D99"/>
    <w:rsid w:val="00010E97"/>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AE3"/>
    <w:rsid w:val="00051B1D"/>
    <w:rsid w:val="000522C7"/>
    <w:rsid w:val="00053EC2"/>
    <w:rsid w:val="00055139"/>
    <w:rsid w:val="00055AC1"/>
    <w:rsid w:val="00056AA7"/>
    <w:rsid w:val="00064F2D"/>
    <w:rsid w:val="00065E58"/>
    <w:rsid w:val="000662F5"/>
    <w:rsid w:val="00066599"/>
    <w:rsid w:val="0006731A"/>
    <w:rsid w:val="00067ABB"/>
    <w:rsid w:val="00071B58"/>
    <w:rsid w:val="0007431B"/>
    <w:rsid w:val="00074502"/>
    <w:rsid w:val="00074923"/>
    <w:rsid w:val="00076C37"/>
    <w:rsid w:val="00081E28"/>
    <w:rsid w:val="00082003"/>
    <w:rsid w:val="0008361B"/>
    <w:rsid w:val="00083EA2"/>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285F"/>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2C00"/>
    <w:rsid w:val="001336DF"/>
    <w:rsid w:val="001338DB"/>
    <w:rsid w:val="001404D7"/>
    <w:rsid w:val="00141099"/>
    <w:rsid w:val="00142015"/>
    <w:rsid w:val="00142599"/>
    <w:rsid w:val="001429F4"/>
    <w:rsid w:val="00142C72"/>
    <w:rsid w:val="00142D0C"/>
    <w:rsid w:val="00144E88"/>
    <w:rsid w:val="00147C5F"/>
    <w:rsid w:val="00147DCC"/>
    <w:rsid w:val="00151FD8"/>
    <w:rsid w:val="00152760"/>
    <w:rsid w:val="00152A09"/>
    <w:rsid w:val="001537D6"/>
    <w:rsid w:val="00153C82"/>
    <w:rsid w:val="00153D8F"/>
    <w:rsid w:val="00155AE9"/>
    <w:rsid w:val="00155DB3"/>
    <w:rsid w:val="00157367"/>
    <w:rsid w:val="00162D14"/>
    <w:rsid w:val="00165945"/>
    <w:rsid w:val="00165988"/>
    <w:rsid w:val="00165EB0"/>
    <w:rsid w:val="001671D5"/>
    <w:rsid w:val="0016742A"/>
    <w:rsid w:val="001702C8"/>
    <w:rsid w:val="0017041B"/>
    <w:rsid w:val="00170529"/>
    <w:rsid w:val="00170957"/>
    <w:rsid w:val="00170FFB"/>
    <w:rsid w:val="001744EA"/>
    <w:rsid w:val="00176D8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59FE"/>
    <w:rsid w:val="001C77BA"/>
    <w:rsid w:val="001D1169"/>
    <w:rsid w:val="001D3742"/>
    <w:rsid w:val="001D3DA5"/>
    <w:rsid w:val="001D527F"/>
    <w:rsid w:val="001D57B5"/>
    <w:rsid w:val="001D6321"/>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1F49D5"/>
    <w:rsid w:val="002017CF"/>
    <w:rsid w:val="002025D0"/>
    <w:rsid w:val="0020344F"/>
    <w:rsid w:val="00203677"/>
    <w:rsid w:val="00205DAD"/>
    <w:rsid w:val="002127F1"/>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26C33"/>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96ED8"/>
    <w:rsid w:val="002A00C3"/>
    <w:rsid w:val="002A00FB"/>
    <w:rsid w:val="002A1224"/>
    <w:rsid w:val="002A3009"/>
    <w:rsid w:val="002A3230"/>
    <w:rsid w:val="002A3B95"/>
    <w:rsid w:val="002A564B"/>
    <w:rsid w:val="002A63CD"/>
    <w:rsid w:val="002A6730"/>
    <w:rsid w:val="002A6F1E"/>
    <w:rsid w:val="002A7A17"/>
    <w:rsid w:val="002A7D7D"/>
    <w:rsid w:val="002B21E2"/>
    <w:rsid w:val="002B4B19"/>
    <w:rsid w:val="002B677D"/>
    <w:rsid w:val="002C0149"/>
    <w:rsid w:val="002C0832"/>
    <w:rsid w:val="002C1269"/>
    <w:rsid w:val="002C265D"/>
    <w:rsid w:val="002C36E5"/>
    <w:rsid w:val="002C4112"/>
    <w:rsid w:val="002C652E"/>
    <w:rsid w:val="002C69C9"/>
    <w:rsid w:val="002D1970"/>
    <w:rsid w:val="002D44D3"/>
    <w:rsid w:val="002D6158"/>
    <w:rsid w:val="002D6CDB"/>
    <w:rsid w:val="002E022D"/>
    <w:rsid w:val="002E0554"/>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4E30"/>
    <w:rsid w:val="00315732"/>
    <w:rsid w:val="00317CAA"/>
    <w:rsid w:val="00320511"/>
    <w:rsid w:val="00321EEF"/>
    <w:rsid w:val="00322CCA"/>
    <w:rsid w:val="003238A9"/>
    <w:rsid w:val="0032656C"/>
    <w:rsid w:val="00330582"/>
    <w:rsid w:val="00331183"/>
    <w:rsid w:val="003327F2"/>
    <w:rsid w:val="003328BA"/>
    <w:rsid w:val="00333BBC"/>
    <w:rsid w:val="003349CD"/>
    <w:rsid w:val="00334D5E"/>
    <w:rsid w:val="00335A41"/>
    <w:rsid w:val="00335DC4"/>
    <w:rsid w:val="003363D4"/>
    <w:rsid w:val="00336D99"/>
    <w:rsid w:val="00337AF6"/>
    <w:rsid w:val="00340066"/>
    <w:rsid w:val="00340AD4"/>
    <w:rsid w:val="00341C96"/>
    <w:rsid w:val="0034316E"/>
    <w:rsid w:val="00343B05"/>
    <w:rsid w:val="00345413"/>
    <w:rsid w:val="00352A60"/>
    <w:rsid w:val="00352D7B"/>
    <w:rsid w:val="003533A3"/>
    <w:rsid w:val="00353A88"/>
    <w:rsid w:val="003541AF"/>
    <w:rsid w:val="00354454"/>
    <w:rsid w:val="00356625"/>
    <w:rsid w:val="0035675D"/>
    <w:rsid w:val="0035772F"/>
    <w:rsid w:val="003600A8"/>
    <w:rsid w:val="00367F43"/>
    <w:rsid w:val="0037015F"/>
    <w:rsid w:val="00370EEF"/>
    <w:rsid w:val="0037168C"/>
    <w:rsid w:val="00371870"/>
    <w:rsid w:val="00371CA2"/>
    <w:rsid w:val="00372A13"/>
    <w:rsid w:val="00373261"/>
    <w:rsid w:val="003738F0"/>
    <w:rsid w:val="00374534"/>
    <w:rsid w:val="00374575"/>
    <w:rsid w:val="00375EB6"/>
    <w:rsid w:val="0037613B"/>
    <w:rsid w:val="003761F1"/>
    <w:rsid w:val="003769B5"/>
    <w:rsid w:val="00377F06"/>
    <w:rsid w:val="003802D1"/>
    <w:rsid w:val="003806C2"/>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9FD"/>
    <w:rsid w:val="003A5CDA"/>
    <w:rsid w:val="003A6382"/>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B61"/>
    <w:rsid w:val="003C4E9D"/>
    <w:rsid w:val="003C543D"/>
    <w:rsid w:val="003C5D23"/>
    <w:rsid w:val="003C66B4"/>
    <w:rsid w:val="003C7889"/>
    <w:rsid w:val="003D0607"/>
    <w:rsid w:val="003D0B8D"/>
    <w:rsid w:val="003D34D5"/>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07C"/>
    <w:rsid w:val="003F74CD"/>
    <w:rsid w:val="003F7FEF"/>
    <w:rsid w:val="00401382"/>
    <w:rsid w:val="00401817"/>
    <w:rsid w:val="004022C2"/>
    <w:rsid w:val="004028FC"/>
    <w:rsid w:val="00406298"/>
    <w:rsid w:val="0040634E"/>
    <w:rsid w:val="0040644C"/>
    <w:rsid w:val="004067A6"/>
    <w:rsid w:val="00412090"/>
    <w:rsid w:val="004141A9"/>
    <w:rsid w:val="00415361"/>
    <w:rsid w:val="00415EE9"/>
    <w:rsid w:val="00416095"/>
    <w:rsid w:val="0041793C"/>
    <w:rsid w:val="004213DC"/>
    <w:rsid w:val="00421BE2"/>
    <w:rsid w:val="004233B4"/>
    <w:rsid w:val="004242C5"/>
    <w:rsid w:val="004242D0"/>
    <w:rsid w:val="00424657"/>
    <w:rsid w:val="00424F0D"/>
    <w:rsid w:val="004265B6"/>
    <w:rsid w:val="004267E4"/>
    <w:rsid w:val="004268BF"/>
    <w:rsid w:val="00426A92"/>
    <w:rsid w:val="00426DF6"/>
    <w:rsid w:val="004272DB"/>
    <w:rsid w:val="00427466"/>
    <w:rsid w:val="004277EE"/>
    <w:rsid w:val="004303A9"/>
    <w:rsid w:val="00431015"/>
    <w:rsid w:val="00431D51"/>
    <w:rsid w:val="0043354F"/>
    <w:rsid w:val="0043387C"/>
    <w:rsid w:val="0043609D"/>
    <w:rsid w:val="0043629E"/>
    <w:rsid w:val="00436969"/>
    <w:rsid w:val="00437BBE"/>
    <w:rsid w:val="00437C38"/>
    <w:rsid w:val="00440D4C"/>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84C2B"/>
    <w:rsid w:val="004903C0"/>
    <w:rsid w:val="00490717"/>
    <w:rsid w:val="00490A26"/>
    <w:rsid w:val="00492C16"/>
    <w:rsid w:val="0049427C"/>
    <w:rsid w:val="00494BF3"/>
    <w:rsid w:val="0049726A"/>
    <w:rsid w:val="00497FF7"/>
    <w:rsid w:val="004A3FD4"/>
    <w:rsid w:val="004A44E5"/>
    <w:rsid w:val="004A474F"/>
    <w:rsid w:val="004A52B7"/>
    <w:rsid w:val="004A785D"/>
    <w:rsid w:val="004A7A0D"/>
    <w:rsid w:val="004B16B8"/>
    <w:rsid w:val="004B219C"/>
    <w:rsid w:val="004B27D8"/>
    <w:rsid w:val="004B3F79"/>
    <w:rsid w:val="004B4A07"/>
    <w:rsid w:val="004B6E67"/>
    <w:rsid w:val="004C0253"/>
    <w:rsid w:val="004C0508"/>
    <w:rsid w:val="004C06A9"/>
    <w:rsid w:val="004C07E3"/>
    <w:rsid w:val="004C2225"/>
    <w:rsid w:val="004C675F"/>
    <w:rsid w:val="004C6B3D"/>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0EDC"/>
    <w:rsid w:val="00571727"/>
    <w:rsid w:val="0057237B"/>
    <w:rsid w:val="00572ACA"/>
    <w:rsid w:val="005746B9"/>
    <w:rsid w:val="00574AF2"/>
    <w:rsid w:val="005764CE"/>
    <w:rsid w:val="0058049B"/>
    <w:rsid w:val="00581E8E"/>
    <w:rsid w:val="0058242A"/>
    <w:rsid w:val="00582B97"/>
    <w:rsid w:val="00583B59"/>
    <w:rsid w:val="0058443D"/>
    <w:rsid w:val="0058469D"/>
    <w:rsid w:val="005847C6"/>
    <w:rsid w:val="00585363"/>
    <w:rsid w:val="0058631D"/>
    <w:rsid w:val="00586667"/>
    <w:rsid w:val="00591C2E"/>
    <w:rsid w:val="00591D85"/>
    <w:rsid w:val="00592152"/>
    <w:rsid w:val="0059489A"/>
    <w:rsid w:val="00594A70"/>
    <w:rsid w:val="00595F5F"/>
    <w:rsid w:val="005977FC"/>
    <w:rsid w:val="00597ABD"/>
    <w:rsid w:val="00597EF3"/>
    <w:rsid w:val="005A0C2A"/>
    <w:rsid w:val="005A2368"/>
    <w:rsid w:val="005A2441"/>
    <w:rsid w:val="005A35E7"/>
    <w:rsid w:val="005A3AB7"/>
    <w:rsid w:val="005A42B3"/>
    <w:rsid w:val="005A4860"/>
    <w:rsid w:val="005A4DB6"/>
    <w:rsid w:val="005A593A"/>
    <w:rsid w:val="005B0C02"/>
    <w:rsid w:val="005B3AB0"/>
    <w:rsid w:val="005B3F84"/>
    <w:rsid w:val="005B465A"/>
    <w:rsid w:val="005B4A80"/>
    <w:rsid w:val="005B50C6"/>
    <w:rsid w:val="005B5337"/>
    <w:rsid w:val="005B7FEC"/>
    <w:rsid w:val="005C124D"/>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1D57"/>
    <w:rsid w:val="005E2271"/>
    <w:rsid w:val="005E245A"/>
    <w:rsid w:val="005E2C94"/>
    <w:rsid w:val="005E5427"/>
    <w:rsid w:val="005E5D41"/>
    <w:rsid w:val="005F08FA"/>
    <w:rsid w:val="005F0A3E"/>
    <w:rsid w:val="005F0CD7"/>
    <w:rsid w:val="005F1EA6"/>
    <w:rsid w:val="005F23BB"/>
    <w:rsid w:val="005F275F"/>
    <w:rsid w:val="005F278F"/>
    <w:rsid w:val="005F2EA2"/>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115"/>
    <w:rsid w:val="00617806"/>
    <w:rsid w:val="00620363"/>
    <w:rsid w:val="006214D4"/>
    <w:rsid w:val="006230E6"/>
    <w:rsid w:val="006231AE"/>
    <w:rsid w:val="00623474"/>
    <w:rsid w:val="0062370A"/>
    <w:rsid w:val="00623EDB"/>
    <w:rsid w:val="0062546A"/>
    <w:rsid w:val="00626565"/>
    <w:rsid w:val="00627228"/>
    <w:rsid w:val="006273C7"/>
    <w:rsid w:val="00627D9A"/>
    <w:rsid w:val="0063006D"/>
    <w:rsid w:val="00630AA6"/>
    <w:rsid w:val="00632088"/>
    <w:rsid w:val="00632BC2"/>
    <w:rsid w:val="00640107"/>
    <w:rsid w:val="006437FF"/>
    <w:rsid w:val="00643CDE"/>
    <w:rsid w:val="00644F94"/>
    <w:rsid w:val="006474AB"/>
    <w:rsid w:val="00650DF4"/>
    <w:rsid w:val="006525C3"/>
    <w:rsid w:val="0065261F"/>
    <w:rsid w:val="006527DF"/>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4FE0"/>
    <w:rsid w:val="006858BF"/>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6D06"/>
    <w:rsid w:val="006B7887"/>
    <w:rsid w:val="006C034B"/>
    <w:rsid w:val="006C0B00"/>
    <w:rsid w:val="006C15F7"/>
    <w:rsid w:val="006C2268"/>
    <w:rsid w:val="006C3BCD"/>
    <w:rsid w:val="006C597B"/>
    <w:rsid w:val="006C6620"/>
    <w:rsid w:val="006C69EE"/>
    <w:rsid w:val="006C6F22"/>
    <w:rsid w:val="006C79BB"/>
    <w:rsid w:val="006C79C2"/>
    <w:rsid w:val="006C7D81"/>
    <w:rsid w:val="006C7DFF"/>
    <w:rsid w:val="006D0708"/>
    <w:rsid w:val="006D1655"/>
    <w:rsid w:val="006D240C"/>
    <w:rsid w:val="006D425E"/>
    <w:rsid w:val="006D48A6"/>
    <w:rsid w:val="006D5C2C"/>
    <w:rsid w:val="006D68B2"/>
    <w:rsid w:val="006D7ABD"/>
    <w:rsid w:val="006E0235"/>
    <w:rsid w:val="006E10F6"/>
    <w:rsid w:val="006E1E19"/>
    <w:rsid w:val="006E24DB"/>
    <w:rsid w:val="006E2767"/>
    <w:rsid w:val="006E30D5"/>
    <w:rsid w:val="006E35F2"/>
    <w:rsid w:val="006E373B"/>
    <w:rsid w:val="006E4391"/>
    <w:rsid w:val="006E4C09"/>
    <w:rsid w:val="006E5522"/>
    <w:rsid w:val="006E6264"/>
    <w:rsid w:val="006F0740"/>
    <w:rsid w:val="006F1E31"/>
    <w:rsid w:val="006F25CF"/>
    <w:rsid w:val="006F26BE"/>
    <w:rsid w:val="006F4261"/>
    <w:rsid w:val="006F4F34"/>
    <w:rsid w:val="006F5483"/>
    <w:rsid w:val="006F6E1B"/>
    <w:rsid w:val="007001D0"/>
    <w:rsid w:val="007003DA"/>
    <w:rsid w:val="00701012"/>
    <w:rsid w:val="007013F6"/>
    <w:rsid w:val="0070400C"/>
    <w:rsid w:val="00704319"/>
    <w:rsid w:val="0070488D"/>
    <w:rsid w:val="00704BFD"/>
    <w:rsid w:val="0070509E"/>
    <w:rsid w:val="00705524"/>
    <w:rsid w:val="007058A0"/>
    <w:rsid w:val="00705CAC"/>
    <w:rsid w:val="0070626C"/>
    <w:rsid w:val="00706C09"/>
    <w:rsid w:val="0071184A"/>
    <w:rsid w:val="00712E6D"/>
    <w:rsid w:val="007134AA"/>
    <w:rsid w:val="00713C9F"/>
    <w:rsid w:val="00714FB2"/>
    <w:rsid w:val="007158C3"/>
    <w:rsid w:val="007159BA"/>
    <w:rsid w:val="00715E13"/>
    <w:rsid w:val="0071674B"/>
    <w:rsid w:val="00720B5D"/>
    <w:rsid w:val="0072106C"/>
    <w:rsid w:val="0072143A"/>
    <w:rsid w:val="00722C1F"/>
    <w:rsid w:val="0072360D"/>
    <w:rsid w:val="00725071"/>
    <w:rsid w:val="00725ABE"/>
    <w:rsid w:val="00726174"/>
    <w:rsid w:val="007303A5"/>
    <w:rsid w:val="00730938"/>
    <w:rsid w:val="0073176C"/>
    <w:rsid w:val="007317B6"/>
    <w:rsid w:val="00731E59"/>
    <w:rsid w:val="0073241B"/>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77974"/>
    <w:rsid w:val="00780173"/>
    <w:rsid w:val="007839B3"/>
    <w:rsid w:val="00785D69"/>
    <w:rsid w:val="00787E86"/>
    <w:rsid w:val="007922BE"/>
    <w:rsid w:val="007927AE"/>
    <w:rsid w:val="00794459"/>
    <w:rsid w:val="00796145"/>
    <w:rsid w:val="007963CB"/>
    <w:rsid w:val="007963FC"/>
    <w:rsid w:val="00796F78"/>
    <w:rsid w:val="00797E30"/>
    <w:rsid w:val="007A0C76"/>
    <w:rsid w:val="007A3A1F"/>
    <w:rsid w:val="007A3E95"/>
    <w:rsid w:val="007A4A42"/>
    <w:rsid w:val="007A4AEF"/>
    <w:rsid w:val="007A51FF"/>
    <w:rsid w:val="007A54A1"/>
    <w:rsid w:val="007A7055"/>
    <w:rsid w:val="007A7748"/>
    <w:rsid w:val="007B043A"/>
    <w:rsid w:val="007B1C97"/>
    <w:rsid w:val="007B3696"/>
    <w:rsid w:val="007B4A78"/>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4A80"/>
    <w:rsid w:val="00805172"/>
    <w:rsid w:val="00805546"/>
    <w:rsid w:val="00806BE4"/>
    <w:rsid w:val="00806F99"/>
    <w:rsid w:val="00807724"/>
    <w:rsid w:val="00810B98"/>
    <w:rsid w:val="00811B3B"/>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5BE6"/>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05D"/>
    <w:rsid w:val="0086510A"/>
    <w:rsid w:val="00865C79"/>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6B7"/>
    <w:rsid w:val="00885756"/>
    <w:rsid w:val="00886062"/>
    <w:rsid w:val="00892BEE"/>
    <w:rsid w:val="008934A3"/>
    <w:rsid w:val="00894DA5"/>
    <w:rsid w:val="00896E3C"/>
    <w:rsid w:val="00896FDB"/>
    <w:rsid w:val="00897119"/>
    <w:rsid w:val="008A27C2"/>
    <w:rsid w:val="008A5DAA"/>
    <w:rsid w:val="008A5F44"/>
    <w:rsid w:val="008A6166"/>
    <w:rsid w:val="008A7772"/>
    <w:rsid w:val="008A7D50"/>
    <w:rsid w:val="008B0223"/>
    <w:rsid w:val="008B0FC3"/>
    <w:rsid w:val="008B22EE"/>
    <w:rsid w:val="008B465D"/>
    <w:rsid w:val="008B6062"/>
    <w:rsid w:val="008B727F"/>
    <w:rsid w:val="008B7506"/>
    <w:rsid w:val="008B7DCA"/>
    <w:rsid w:val="008C0460"/>
    <w:rsid w:val="008C096E"/>
    <w:rsid w:val="008C09CC"/>
    <w:rsid w:val="008C0FBD"/>
    <w:rsid w:val="008C1907"/>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35B"/>
    <w:rsid w:val="008F5AAD"/>
    <w:rsid w:val="008F622D"/>
    <w:rsid w:val="008F6DA7"/>
    <w:rsid w:val="008F7CB0"/>
    <w:rsid w:val="009002FD"/>
    <w:rsid w:val="009006FC"/>
    <w:rsid w:val="009010FE"/>
    <w:rsid w:val="00901B0B"/>
    <w:rsid w:val="00902B95"/>
    <w:rsid w:val="00903DEA"/>
    <w:rsid w:val="0090585A"/>
    <w:rsid w:val="0090589F"/>
    <w:rsid w:val="0090593C"/>
    <w:rsid w:val="00906A1B"/>
    <w:rsid w:val="009121BF"/>
    <w:rsid w:val="009123B7"/>
    <w:rsid w:val="009128F3"/>
    <w:rsid w:val="00913084"/>
    <w:rsid w:val="00914596"/>
    <w:rsid w:val="00916714"/>
    <w:rsid w:val="00917115"/>
    <w:rsid w:val="00920D0B"/>
    <w:rsid w:val="009214E5"/>
    <w:rsid w:val="00922878"/>
    <w:rsid w:val="00924271"/>
    <w:rsid w:val="009242D9"/>
    <w:rsid w:val="009248C3"/>
    <w:rsid w:val="009275F8"/>
    <w:rsid w:val="00930E10"/>
    <w:rsid w:val="009321FE"/>
    <w:rsid w:val="00934279"/>
    <w:rsid w:val="009359D3"/>
    <w:rsid w:val="009428A3"/>
    <w:rsid w:val="00942EDF"/>
    <w:rsid w:val="009440B4"/>
    <w:rsid w:val="0094458E"/>
    <w:rsid w:val="00946640"/>
    <w:rsid w:val="00950845"/>
    <w:rsid w:val="009560B9"/>
    <w:rsid w:val="009572CC"/>
    <w:rsid w:val="009600F6"/>
    <w:rsid w:val="00960EC7"/>
    <w:rsid w:val="00963BEA"/>
    <w:rsid w:val="00965E18"/>
    <w:rsid w:val="00966AAB"/>
    <w:rsid w:val="00966D14"/>
    <w:rsid w:val="00970363"/>
    <w:rsid w:val="00970B2A"/>
    <w:rsid w:val="009714B3"/>
    <w:rsid w:val="0097216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420"/>
    <w:rsid w:val="009B6DA3"/>
    <w:rsid w:val="009B7F76"/>
    <w:rsid w:val="009C0293"/>
    <w:rsid w:val="009C0744"/>
    <w:rsid w:val="009C0828"/>
    <w:rsid w:val="009C4A9A"/>
    <w:rsid w:val="009C72A8"/>
    <w:rsid w:val="009D0564"/>
    <w:rsid w:val="009D1BC4"/>
    <w:rsid w:val="009D3358"/>
    <w:rsid w:val="009D40EE"/>
    <w:rsid w:val="009D4476"/>
    <w:rsid w:val="009D4BD0"/>
    <w:rsid w:val="009D7D6D"/>
    <w:rsid w:val="009E2B08"/>
    <w:rsid w:val="009E4C9B"/>
    <w:rsid w:val="009E79F0"/>
    <w:rsid w:val="009F04AD"/>
    <w:rsid w:val="009F1969"/>
    <w:rsid w:val="009F422E"/>
    <w:rsid w:val="009F6B98"/>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13E2"/>
    <w:rsid w:val="00A22863"/>
    <w:rsid w:val="00A22B75"/>
    <w:rsid w:val="00A2351E"/>
    <w:rsid w:val="00A24347"/>
    <w:rsid w:val="00A25AFA"/>
    <w:rsid w:val="00A26CBA"/>
    <w:rsid w:val="00A26E3F"/>
    <w:rsid w:val="00A31862"/>
    <w:rsid w:val="00A31869"/>
    <w:rsid w:val="00A33947"/>
    <w:rsid w:val="00A34171"/>
    <w:rsid w:val="00A34524"/>
    <w:rsid w:val="00A345ED"/>
    <w:rsid w:val="00A353E9"/>
    <w:rsid w:val="00A35831"/>
    <w:rsid w:val="00A41819"/>
    <w:rsid w:val="00A41B0C"/>
    <w:rsid w:val="00A45876"/>
    <w:rsid w:val="00A462E1"/>
    <w:rsid w:val="00A471EA"/>
    <w:rsid w:val="00A47D95"/>
    <w:rsid w:val="00A47EE4"/>
    <w:rsid w:val="00A510C0"/>
    <w:rsid w:val="00A51AB9"/>
    <w:rsid w:val="00A52BBB"/>
    <w:rsid w:val="00A5363C"/>
    <w:rsid w:val="00A53974"/>
    <w:rsid w:val="00A54AF7"/>
    <w:rsid w:val="00A54BCC"/>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5AF"/>
    <w:rsid w:val="00A80BAE"/>
    <w:rsid w:val="00A81907"/>
    <w:rsid w:val="00A82014"/>
    <w:rsid w:val="00A829AB"/>
    <w:rsid w:val="00A8419E"/>
    <w:rsid w:val="00A8601C"/>
    <w:rsid w:val="00A865BA"/>
    <w:rsid w:val="00A874D1"/>
    <w:rsid w:val="00A875FA"/>
    <w:rsid w:val="00A91155"/>
    <w:rsid w:val="00A92C6B"/>
    <w:rsid w:val="00A93FD0"/>
    <w:rsid w:val="00A95202"/>
    <w:rsid w:val="00A953DD"/>
    <w:rsid w:val="00A96A83"/>
    <w:rsid w:val="00A96FA4"/>
    <w:rsid w:val="00A97BFD"/>
    <w:rsid w:val="00AA0016"/>
    <w:rsid w:val="00AA055D"/>
    <w:rsid w:val="00AA26AF"/>
    <w:rsid w:val="00AA3723"/>
    <w:rsid w:val="00AA3942"/>
    <w:rsid w:val="00AA52E5"/>
    <w:rsid w:val="00AA5911"/>
    <w:rsid w:val="00AA7624"/>
    <w:rsid w:val="00AB19F8"/>
    <w:rsid w:val="00AB2298"/>
    <w:rsid w:val="00AB2841"/>
    <w:rsid w:val="00AB2EE2"/>
    <w:rsid w:val="00AB4626"/>
    <w:rsid w:val="00AC072E"/>
    <w:rsid w:val="00AC23B9"/>
    <w:rsid w:val="00AC25B4"/>
    <w:rsid w:val="00AC4563"/>
    <w:rsid w:val="00AC49AD"/>
    <w:rsid w:val="00AC55E3"/>
    <w:rsid w:val="00AC659A"/>
    <w:rsid w:val="00AD0132"/>
    <w:rsid w:val="00AD0287"/>
    <w:rsid w:val="00AD14B2"/>
    <w:rsid w:val="00AD2D02"/>
    <w:rsid w:val="00AD3796"/>
    <w:rsid w:val="00AD4207"/>
    <w:rsid w:val="00AE0990"/>
    <w:rsid w:val="00AE12FE"/>
    <w:rsid w:val="00AE188F"/>
    <w:rsid w:val="00AE1A2E"/>
    <w:rsid w:val="00AE2387"/>
    <w:rsid w:val="00AE2EC3"/>
    <w:rsid w:val="00AE52AF"/>
    <w:rsid w:val="00AE53DA"/>
    <w:rsid w:val="00AE55FE"/>
    <w:rsid w:val="00AE5DA0"/>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5735"/>
    <w:rsid w:val="00B16411"/>
    <w:rsid w:val="00B16BF6"/>
    <w:rsid w:val="00B17BCA"/>
    <w:rsid w:val="00B22613"/>
    <w:rsid w:val="00B23A96"/>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0068"/>
    <w:rsid w:val="00B41D07"/>
    <w:rsid w:val="00B4317D"/>
    <w:rsid w:val="00B436A2"/>
    <w:rsid w:val="00B44B07"/>
    <w:rsid w:val="00B4639C"/>
    <w:rsid w:val="00B46609"/>
    <w:rsid w:val="00B46C58"/>
    <w:rsid w:val="00B473A7"/>
    <w:rsid w:val="00B4759A"/>
    <w:rsid w:val="00B47E81"/>
    <w:rsid w:val="00B503CE"/>
    <w:rsid w:val="00B52CF1"/>
    <w:rsid w:val="00B52DA9"/>
    <w:rsid w:val="00B53862"/>
    <w:rsid w:val="00B53CAE"/>
    <w:rsid w:val="00B53E30"/>
    <w:rsid w:val="00B558DB"/>
    <w:rsid w:val="00B55A41"/>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00DA"/>
    <w:rsid w:val="00B72812"/>
    <w:rsid w:val="00B73A94"/>
    <w:rsid w:val="00B73A96"/>
    <w:rsid w:val="00B74A52"/>
    <w:rsid w:val="00B74AE4"/>
    <w:rsid w:val="00B74D4F"/>
    <w:rsid w:val="00B7728D"/>
    <w:rsid w:val="00B77485"/>
    <w:rsid w:val="00B7787C"/>
    <w:rsid w:val="00B8155C"/>
    <w:rsid w:val="00B86319"/>
    <w:rsid w:val="00B86D50"/>
    <w:rsid w:val="00B918C6"/>
    <w:rsid w:val="00B932A7"/>
    <w:rsid w:val="00B935AF"/>
    <w:rsid w:val="00B94433"/>
    <w:rsid w:val="00B95BAE"/>
    <w:rsid w:val="00B97BEA"/>
    <w:rsid w:val="00BA04B2"/>
    <w:rsid w:val="00BA0A54"/>
    <w:rsid w:val="00BA19C7"/>
    <w:rsid w:val="00BA3D94"/>
    <w:rsid w:val="00BA4474"/>
    <w:rsid w:val="00BA793F"/>
    <w:rsid w:val="00BB3138"/>
    <w:rsid w:val="00BB385B"/>
    <w:rsid w:val="00BB5C8B"/>
    <w:rsid w:val="00BB6231"/>
    <w:rsid w:val="00BB73BD"/>
    <w:rsid w:val="00BB7BB3"/>
    <w:rsid w:val="00BC0089"/>
    <w:rsid w:val="00BC032D"/>
    <w:rsid w:val="00BC12AE"/>
    <w:rsid w:val="00BC2E00"/>
    <w:rsid w:val="00BC2FAF"/>
    <w:rsid w:val="00BC5376"/>
    <w:rsid w:val="00BC67B9"/>
    <w:rsid w:val="00BC7952"/>
    <w:rsid w:val="00BD0890"/>
    <w:rsid w:val="00BD0EB4"/>
    <w:rsid w:val="00BD1030"/>
    <w:rsid w:val="00BD2388"/>
    <w:rsid w:val="00BD2693"/>
    <w:rsid w:val="00BD4BB6"/>
    <w:rsid w:val="00BD53E1"/>
    <w:rsid w:val="00BD5E34"/>
    <w:rsid w:val="00BD7FF5"/>
    <w:rsid w:val="00BE0360"/>
    <w:rsid w:val="00BE05A5"/>
    <w:rsid w:val="00BE0EBD"/>
    <w:rsid w:val="00BE1584"/>
    <w:rsid w:val="00BE1962"/>
    <w:rsid w:val="00BE1B22"/>
    <w:rsid w:val="00BE5942"/>
    <w:rsid w:val="00BE71EE"/>
    <w:rsid w:val="00BF2E28"/>
    <w:rsid w:val="00BF461D"/>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27AD9"/>
    <w:rsid w:val="00C31626"/>
    <w:rsid w:val="00C31E1B"/>
    <w:rsid w:val="00C32C8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3E26"/>
    <w:rsid w:val="00C64670"/>
    <w:rsid w:val="00C65B76"/>
    <w:rsid w:val="00C65F60"/>
    <w:rsid w:val="00C668EB"/>
    <w:rsid w:val="00C71A15"/>
    <w:rsid w:val="00C71F26"/>
    <w:rsid w:val="00C73454"/>
    <w:rsid w:val="00C73925"/>
    <w:rsid w:val="00C74241"/>
    <w:rsid w:val="00C74BD8"/>
    <w:rsid w:val="00C74C65"/>
    <w:rsid w:val="00C76AA4"/>
    <w:rsid w:val="00C83128"/>
    <w:rsid w:val="00C834F9"/>
    <w:rsid w:val="00C83DCC"/>
    <w:rsid w:val="00C843AC"/>
    <w:rsid w:val="00C84540"/>
    <w:rsid w:val="00C85286"/>
    <w:rsid w:val="00C852EB"/>
    <w:rsid w:val="00C85531"/>
    <w:rsid w:val="00C8642A"/>
    <w:rsid w:val="00C8748C"/>
    <w:rsid w:val="00C874A0"/>
    <w:rsid w:val="00C87F97"/>
    <w:rsid w:val="00C918A8"/>
    <w:rsid w:val="00C91E59"/>
    <w:rsid w:val="00C91F21"/>
    <w:rsid w:val="00C92AE1"/>
    <w:rsid w:val="00C94960"/>
    <w:rsid w:val="00C95624"/>
    <w:rsid w:val="00C96C52"/>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4B2B"/>
    <w:rsid w:val="00CD6174"/>
    <w:rsid w:val="00CD6F45"/>
    <w:rsid w:val="00CE3BCE"/>
    <w:rsid w:val="00CE3E22"/>
    <w:rsid w:val="00CE5C9C"/>
    <w:rsid w:val="00CE6707"/>
    <w:rsid w:val="00CE7945"/>
    <w:rsid w:val="00CF0015"/>
    <w:rsid w:val="00CF0AD2"/>
    <w:rsid w:val="00CF2A64"/>
    <w:rsid w:val="00CF2B23"/>
    <w:rsid w:val="00CF30C0"/>
    <w:rsid w:val="00CF386D"/>
    <w:rsid w:val="00CF3B0C"/>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4BE0"/>
    <w:rsid w:val="00D16610"/>
    <w:rsid w:val="00D17062"/>
    <w:rsid w:val="00D17C0F"/>
    <w:rsid w:val="00D205EF"/>
    <w:rsid w:val="00D20C3F"/>
    <w:rsid w:val="00D21BE3"/>
    <w:rsid w:val="00D21DC4"/>
    <w:rsid w:val="00D22B90"/>
    <w:rsid w:val="00D25685"/>
    <w:rsid w:val="00D25CDB"/>
    <w:rsid w:val="00D260D1"/>
    <w:rsid w:val="00D27326"/>
    <w:rsid w:val="00D27822"/>
    <w:rsid w:val="00D301D8"/>
    <w:rsid w:val="00D31188"/>
    <w:rsid w:val="00D352F4"/>
    <w:rsid w:val="00D364B5"/>
    <w:rsid w:val="00D36B9B"/>
    <w:rsid w:val="00D37213"/>
    <w:rsid w:val="00D37DA6"/>
    <w:rsid w:val="00D4187B"/>
    <w:rsid w:val="00D424D3"/>
    <w:rsid w:val="00D42903"/>
    <w:rsid w:val="00D42A0A"/>
    <w:rsid w:val="00D43B42"/>
    <w:rsid w:val="00D44773"/>
    <w:rsid w:val="00D4594E"/>
    <w:rsid w:val="00D46840"/>
    <w:rsid w:val="00D47DF3"/>
    <w:rsid w:val="00D50250"/>
    <w:rsid w:val="00D5066A"/>
    <w:rsid w:val="00D508D7"/>
    <w:rsid w:val="00D5340E"/>
    <w:rsid w:val="00D53B38"/>
    <w:rsid w:val="00D554C1"/>
    <w:rsid w:val="00D5569A"/>
    <w:rsid w:val="00D55EED"/>
    <w:rsid w:val="00D575CA"/>
    <w:rsid w:val="00D60658"/>
    <w:rsid w:val="00D61BA8"/>
    <w:rsid w:val="00D63C1E"/>
    <w:rsid w:val="00D64AB3"/>
    <w:rsid w:val="00D65CBF"/>
    <w:rsid w:val="00D66A7D"/>
    <w:rsid w:val="00D66FB8"/>
    <w:rsid w:val="00D67D1B"/>
    <w:rsid w:val="00D67FCF"/>
    <w:rsid w:val="00D713C3"/>
    <w:rsid w:val="00D71E67"/>
    <w:rsid w:val="00D72067"/>
    <w:rsid w:val="00D72569"/>
    <w:rsid w:val="00D740E2"/>
    <w:rsid w:val="00D740F6"/>
    <w:rsid w:val="00D745F5"/>
    <w:rsid w:val="00D74C26"/>
    <w:rsid w:val="00D77712"/>
    <w:rsid w:val="00D77826"/>
    <w:rsid w:val="00D77C93"/>
    <w:rsid w:val="00D825E7"/>
    <w:rsid w:val="00D827A5"/>
    <w:rsid w:val="00D846D0"/>
    <w:rsid w:val="00D85587"/>
    <w:rsid w:val="00D85C8C"/>
    <w:rsid w:val="00D86822"/>
    <w:rsid w:val="00D86A07"/>
    <w:rsid w:val="00D871BD"/>
    <w:rsid w:val="00D87442"/>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3FB6"/>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3783"/>
    <w:rsid w:val="00E17AAB"/>
    <w:rsid w:val="00E204EE"/>
    <w:rsid w:val="00E21B14"/>
    <w:rsid w:val="00E21D57"/>
    <w:rsid w:val="00E24CFB"/>
    <w:rsid w:val="00E26207"/>
    <w:rsid w:val="00E2631D"/>
    <w:rsid w:val="00E265EE"/>
    <w:rsid w:val="00E26E2E"/>
    <w:rsid w:val="00E30496"/>
    <w:rsid w:val="00E325B6"/>
    <w:rsid w:val="00E3280C"/>
    <w:rsid w:val="00E33AA2"/>
    <w:rsid w:val="00E341C7"/>
    <w:rsid w:val="00E3431A"/>
    <w:rsid w:val="00E3551D"/>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19C5"/>
    <w:rsid w:val="00E8222F"/>
    <w:rsid w:val="00E8292C"/>
    <w:rsid w:val="00E831F3"/>
    <w:rsid w:val="00E835B4"/>
    <w:rsid w:val="00E8363C"/>
    <w:rsid w:val="00E843E4"/>
    <w:rsid w:val="00E8471F"/>
    <w:rsid w:val="00E8514D"/>
    <w:rsid w:val="00E852FE"/>
    <w:rsid w:val="00E85AD4"/>
    <w:rsid w:val="00E90C2B"/>
    <w:rsid w:val="00E91BE7"/>
    <w:rsid w:val="00E91F09"/>
    <w:rsid w:val="00E92330"/>
    <w:rsid w:val="00E927FC"/>
    <w:rsid w:val="00E9445B"/>
    <w:rsid w:val="00E96984"/>
    <w:rsid w:val="00E96AF7"/>
    <w:rsid w:val="00E97F3F"/>
    <w:rsid w:val="00EA01FA"/>
    <w:rsid w:val="00EA186D"/>
    <w:rsid w:val="00EA3829"/>
    <w:rsid w:val="00EA536A"/>
    <w:rsid w:val="00EA5E41"/>
    <w:rsid w:val="00EA73AE"/>
    <w:rsid w:val="00EB0708"/>
    <w:rsid w:val="00EB1B5A"/>
    <w:rsid w:val="00EB1D53"/>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C7C9A"/>
    <w:rsid w:val="00ED5843"/>
    <w:rsid w:val="00EE1589"/>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32D"/>
    <w:rsid w:val="00EF4501"/>
    <w:rsid w:val="00EF51A6"/>
    <w:rsid w:val="00EF5231"/>
    <w:rsid w:val="00EF5E3E"/>
    <w:rsid w:val="00EF740E"/>
    <w:rsid w:val="00F037F5"/>
    <w:rsid w:val="00F04DCF"/>
    <w:rsid w:val="00F04F9A"/>
    <w:rsid w:val="00F06EA2"/>
    <w:rsid w:val="00F10C10"/>
    <w:rsid w:val="00F113FD"/>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983"/>
    <w:rsid w:val="00F45CFD"/>
    <w:rsid w:val="00F4616D"/>
    <w:rsid w:val="00F46904"/>
    <w:rsid w:val="00F50672"/>
    <w:rsid w:val="00F51C70"/>
    <w:rsid w:val="00F52E2B"/>
    <w:rsid w:val="00F5312D"/>
    <w:rsid w:val="00F5384B"/>
    <w:rsid w:val="00F55627"/>
    <w:rsid w:val="00F56EB8"/>
    <w:rsid w:val="00F57AE6"/>
    <w:rsid w:val="00F6065D"/>
    <w:rsid w:val="00F62FD0"/>
    <w:rsid w:val="00F63B6A"/>
    <w:rsid w:val="00F6493F"/>
    <w:rsid w:val="00F66664"/>
    <w:rsid w:val="00F669C5"/>
    <w:rsid w:val="00F66D25"/>
    <w:rsid w:val="00F67286"/>
    <w:rsid w:val="00F67AEA"/>
    <w:rsid w:val="00F708DA"/>
    <w:rsid w:val="00F720AE"/>
    <w:rsid w:val="00F72359"/>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4F62"/>
    <w:rsid w:val="00FA5A88"/>
    <w:rsid w:val="00FA6051"/>
    <w:rsid w:val="00FA66ED"/>
    <w:rsid w:val="00FA6D65"/>
    <w:rsid w:val="00FB0EAC"/>
    <w:rsid w:val="00FB1590"/>
    <w:rsid w:val="00FB171C"/>
    <w:rsid w:val="00FB192A"/>
    <w:rsid w:val="00FB1A4E"/>
    <w:rsid w:val="00FB29AE"/>
    <w:rsid w:val="00FB3EBD"/>
    <w:rsid w:val="00FB530E"/>
    <w:rsid w:val="00FB76E9"/>
    <w:rsid w:val="00FB7C90"/>
    <w:rsid w:val="00FC12B9"/>
    <w:rsid w:val="00FC1FAC"/>
    <w:rsid w:val="00FC2065"/>
    <w:rsid w:val="00FC2498"/>
    <w:rsid w:val="00FC32AB"/>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136"/>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33839"/>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paragraph" w:styleId="berarbeitung">
    <w:name w:val="Revision"/>
    <w:hidden/>
    <w:uiPriority w:val="99"/>
    <w:semiHidden/>
    <w:rsid w:val="00083EA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2f12fc34-f1dc-44f0-9e2f-50336bd15f77"/>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e192a78-5895-402e-a1c0-bf53bcda2ea2"/>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60B12-E833-46FD-92C8-7E4F3EB8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7622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Fórmula de modernización perfecta para Almi</dc:title>
  <dc:subject/>
  <dc:creator>Tahedl Alexander</dc:creator>
  <cp:keywords>Fórmula de modernización perfecta para Almi</cp:keywords>
  <dc:description/>
  <cp:lastModifiedBy>Tahedl Alexander</cp:lastModifiedBy>
  <cp:revision>63</cp:revision>
  <cp:lastPrinted>2022-05-10T12:38:00Z</cp:lastPrinted>
  <dcterms:created xsi:type="dcterms:W3CDTF">2021-04-14T17:10:00Z</dcterms:created>
  <dcterms:modified xsi:type="dcterms:W3CDTF">2022-09-20T15:13:00Z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