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957A" w14:textId="5887C7AB" w:rsidR="00AF7CB1" w:rsidRDefault="00AF7CB1" w:rsidP="00B34DB2">
      <w:pPr>
        <w:spacing w:line="360" w:lineRule="auto"/>
        <w:ind w:left="0" w:right="1693"/>
        <w:rPr>
          <w:rFonts w:cs="Arial"/>
          <w:b/>
          <w:sz w:val="28"/>
          <w:szCs w:val="28"/>
        </w:rPr>
      </w:pPr>
    </w:p>
    <w:p w14:paraId="6C03CA21" w14:textId="77777777" w:rsidR="00F13D14" w:rsidRDefault="00F13D14" w:rsidP="00B34DB2">
      <w:pPr>
        <w:spacing w:line="360" w:lineRule="auto"/>
        <w:ind w:left="0" w:right="1693"/>
        <w:rPr>
          <w:rFonts w:cs="Arial"/>
          <w:b/>
          <w:sz w:val="28"/>
          <w:szCs w:val="28"/>
        </w:rPr>
      </w:pPr>
    </w:p>
    <w:p w14:paraId="080335AD" w14:textId="77777777" w:rsidR="002327A2" w:rsidRDefault="002327A2" w:rsidP="00B34DB2">
      <w:pPr>
        <w:spacing w:line="360" w:lineRule="auto"/>
        <w:ind w:left="0" w:right="1693"/>
        <w:rPr>
          <w:rFonts w:cs="Arial"/>
          <w:b/>
          <w:sz w:val="28"/>
          <w:szCs w:val="28"/>
        </w:rPr>
      </w:pPr>
    </w:p>
    <w:p w14:paraId="7E2EE4D7" w14:textId="018A6704" w:rsidR="0073741E" w:rsidRPr="004178EE" w:rsidRDefault="008D4938" w:rsidP="00B34DB2">
      <w:pPr>
        <w:spacing w:line="360" w:lineRule="auto"/>
        <w:ind w:left="0" w:right="1693"/>
        <w:rPr>
          <w:rFonts w:cs="Arial"/>
          <w:b/>
          <w:sz w:val="28"/>
          <w:szCs w:val="28"/>
          <w:lang w:val="en-GB"/>
        </w:rPr>
      </w:pPr>
      <w:r w:rsidRPr="004178EE">
        <w:rPr>
          <w:rFonts w:cs="Arial"/>
          <w:b/>
          <w:sz w:val="28"/>
          <w:szCs w:val="28"/>
          <w:lang w:val="en-GB"/>
        </w:rPr>
        <w:t>LogiMAT 2022: TGW presents new digital services</w:t>
      </w:r>
    </w:p>
    <w:p w14:paraId="680E18BE" w14:textId="77777777" w:rsidR="00315732" w:rsidRPr="004178EE" w:rsidRDefault="00315732" w:rsidP="00B34DB2">
      <w:pPr>
        <w:spacing w:line="360" w:lineRule="auto"/>
        <w:ind w:left="0" w:right="1693"/>
        <w:rPr>
          <w:rFonts w:cs="Arial"/>
          <w:b/>
          <w:sz w:val="24"/>
          <w:szCs w:val="24"/>
          <w:lang w:val="en-GB"/>
        </w:rPr>
      </w:pPr>
    </w:p>
    <w:p w14:paraId="7FD82EF9" w14:textId="77777777" w:rsidR="00222AA7" w:rsidRPr="004178EE" w:rsidRDefault="00B7544D" w:rsidP="00C42B3C">
      <w:pPr>
        <w:pStyle w:val="Listenabsatz"/>
        <w:numPr>
          <w:ilvl w:val="0"/>
          <w:numId w:val="21"/>
        </w:numPr>
        <w:spacing w:line="360" w:lineRule="auto"/>
        <w:ind w:right="1693"/>
        <w:jc w:val="left"/>
        <w:rPr>
          <w:rFonts w:cs="Arial"/>
          <w:b/>
          <w:sz w:val="24"/>
          <w:szCs w:val="24"/>
          <w:lang w:val="en-GB"/>
        </w:rPr>
      </w:pPr>
      <w:r w:rsidRPr="004178EE">
        <w:rPr>
          <w:rFonts w:cs="Arial"/>
          <w:b/>
          <w:sz w:val="24"/>
          <w:szCs w:val="24"/>
          <w:lang w:val="en-GB"/>
        </w:rPr>
        <w:t>Leading systems integrator will exhibit its extensive digital solution portfolio at the industry trade fair (Hall 5, Booth C13)</w:t>
      </w:r>
    </w:p>
    <w:p w14:paraId="238F13A0" w14:textId="0988886B" w:rsidR="00060901" w:rsidRPr="004178EE" w:rsidRDefault="002D499C" w:rsidP="00C42B3C">
      <w:pPr>
        <w:pStyle w:val="Listenabsatz"/>
        <w:numPr>
          <w:ilvl w:val="0"/>
          <w:numId w:val="21"/>
        </w:numPr>
        <w:spacing w:line="360" w:lineRule="auto"/>
        <w:ind w:right="1693"/>
        <w:jc w:val="left"/>
        <w:rPr>
          <w:rFonts w:cs="Arial"/>
          <w:b/>
          <w:sz w:val="24"/>
          <w:szCs w:val="24"/>
          <w:lang w:val="en-GB"/>
        </w:rPr>
      </w:pPr>
      <w:r w:rsidRPr="004178EE">
        <w:rPr>
          <w:rFonts w:cs="Arial"/>
          <w:b/>
          <w:sz w:val="24"/>
          <w:szCs w:val="24"/>
          <w:lang w:val="en-GB"/>
        </w:rPr>
        <w:t>TGW offers everything from a single source: from software, robotics and controls systems to mechatronic modules</w:t>
      </w:r>
    </w:p>
    <w:p w14:paraId="42F09CB1" w14:textId="77777777" w:rsidR="0048357E" w:rsidRPr="00060901" w:rsidRDefault="002D499C" w:rsidP="00C42B3C">
      <w:pPr>
        <w:pStyle w:val="Listenabsatz"/>
        <w:numPr>
          <w:ilvl w:val="0"/>
          <w:numId w:val="21"/>
        </w:numPr>
        <w:spacing w:line="360" w:lineRule="auto"/>
        <w:ind w:right="1693"/>
        <w:jc w:val="left"/>
        <w:rPr>
          <w:rFonts w:cs="Arial"/>
          <w:b/>
          <w:sz w:val="24"/>
          <w:szCs w:val="24"/>
        </w:rPr>
      </w:pPr>
      <w:r>
        <w:rPr>
          <w:rFonts w:cs="Arial"/>
          <w:b/>
          <w:sz w:val="24"/>
          <w:szCs w:val="24"/>
        </w:rPr>
        <w:t xml:space="preserve">Reference </w:t>
      </w:r>
      <w:proofErr w:type="spellStart"/>
      <w:r>
        <w:rPr>
          <w:rFonts w:cs="Arial"/>
          <w:b/>
          <w:sz w:val="24"/>
          <w:szCs w:val="24"/>
        </w:rPr>
        <w:t>projects</w:t>
      </w:r>
      <w:proofErr w:type="spellEnd"/>
      <w:r>
        <w:rPr>
          <w:rFonts w:cs="Arial"/>
          <w:b/>
          <w:sz w:val="24"/>
          <w:szCs w:val="24"/>
        </w:rPr>
        <w:t xml:space="preserve"> with </w:t>
      </w:r>
      <w:proofErr w:type="spellStart"/>
      <w:r>
        <w:rPr>
          <w:rFonts w:cs="Arial"/>
          <w:b/>
          <w:sz w:val="24"/>
          <w:szCs w:val="24"/>
        </w:rPr>
        <w:t>renowned</w:t>
      </w:r>
      <w:proofErr w:type="spellEnd"/>
      <w:r>
        <w:rPr>
          <w:rFonts w:cs="Arial"/>
          <w:b/>
          <w:sz w:val="24"/>
          <w:szCs w:val="24"/>
        </w:rPr>
        <w:t xml:space="preserve"> </w:t>
      </w:r>
      <w:proofErr w:type="spellStart"/>
      <w:r>
        <w:rPr>
          <w:rFonts w:cs="Arial"/>
          <w:b/>
          <w:sz w:val="24"/>
          <w:szCs w:val="24"/>
        </w:rPr>
        <w:t>customers</w:t>
      </w:r>
      <w:proofErr w:type="spellEnd"/>
    </w:p>
    <w:p w14:paraId="23B81BA7" w14:textId="77777777" w:rsidR="00E26207" w:rsidRDefault="00E26207" w:rsidP="00B34DB2">
      <w:pPr>
        <w:spacing w:line="360" w:lineRule="auto"/>
        <w:ind w:left="0" w:right="1693"/>
        <w:rPr>
          <w:rFonts w:cs="Arial"/>
          <w:b/>
          <w:sz w:val="24"/>
          <w:szCs w:val="24"/>
        </w:rPr>
      </w:pPr>
    </w:p>
    <w:p w14:paraId="690997FA" w14:textId="63300D26" w:rsidR="00B7544D" w:rsidRPr="004178EE" w:rsidRDefault="00EF32D1" w:rsidP="00B34DB2">
      <w:pPr>
        <w:spacing w:line="360" w:lineRule="auto"/>
        <w:ind w:left="0" w:right="1693"/>
        <w:rPr>
          <w:rFonts w:cs="Arial"/>
          <w:b/>
          <w:szCs w:val="20"/>
          <w:lang w:val="en-GB"/>
        </w:rPr>
      </w:pPr>
      <w:r w:rsidRPr="004178EE">
        <w:rPr>
          <w:rFonts w:cs="Arial"/>
          <w:b/>
          <w:szCs w:val="20"/>
          <w:lang w:val="en-GB"/>
        </w:rPr>
        <w:t>(Marchtrenk, Austria, 21 February 2022) The TGW Logistics Group is equipped with modern technology for the digital age. The systems integrator will be presenting the full spectrum of its digital services at the Stuttgart intra-logistics trade fair LogiMAT (31 May to 2 June). Those</w:t>
      </w:r>
      <w:r w:rsidR="004178EE">
        <w:rPr>
          <w:rFonts w:cs="Arial"/>
          <w:b/>
          <w:szCs w:val="20"/>
          <w:lang w:val="en-GB"/>
        </w:rPr>
        <w:t xml:space="preserve"> services cover the entire life</w:t>
      </w:r>
      <w:r w:rsidRPr="004178EE">
        <w:rPr>
          <w:rFonts w:cs="Arial"/>
          <w:b/>
          <w:szCs w:val="20"/>
          <w:lang w:val="en-GB"/>
        </w:rPr>
        <w:t xml:space="preserve">cycle of a system, including everything from planning to implementation to live operation. The spotlight will be on innovations that help companies boost their competitiveness. </w:t>
      </w:r>
    </w:p>
    <w:p w14:paraId="30184882" w14:textId="77777777" w:rsidR="005939BF" w:rsidRPr="004178EE" w:rsidRDefault="005939BF" w:rsidP="00E21B14">
      <w:pPr>
        <w:spacing w:line="360" w:lineRule="auto"/>
        <w:ind w:left="0" w:right="1693"/>
        <w:rPr>
          <w:rFonts w:cs="Arial"/>
          <w:b/>
          <w:szCs w:val="20"/>
          <w:lang w:val="en-GB"/>
        </w:rPr>
      </w:pPr>
    </w:p>
    <w:p w14:paraId="2EA27247" w14:textId="516F4299" w:rsidR="007104F7" w:rsidRPr="004178EE" w:rsidRDefault="009E252D" w:rsidP="004C4ACF">
      <w:pPr>
        <w:spacing w:line="360" w:lineRule="auto"/>
        <w:ind w:left="0" w:right="1693"/>
        <w:rPr>
          <w:rFonts w:cs="Arial"/>
          <w:bCs/>
          <w:szCs w:val="20"/>
          <w:lang w:val="en-GB"/>
        </w:rPr>
      </w:pPr>
      <w:r w:rsidRPr="004178EE">
        <w:rPr>
          <w:rFonts w:cs="Arial"/>
          <w:bCs/>
          <w:szCs w:val="20"/>
          <w:lang w:val="en-GB"/>
        </w:rPr>
        <w:t>"TGW can look back on more than fifty years of experience in the development of mechatronic modules and has successfully implemented hundreds of projects worldwide as a systems integrator. Thanks to our ever-expanding range of digital services, our customers are in an excellent position to face the demands of tomorrow," emphasises Matthias Stötzner, Director Sales at TGW Systems Integration. "TGW combines expertise in software and systems to offer customised, state-of-the-art end-to-end solutions."</w:t>
      </w:r>
    </w:p>
    <w:p w14:paraId="2906D979" w14:textId="77777777" w:rsidR="007104F7" w:rsidRPr="004178EE" w:rsidRDefault="007104F7" w:rsidP="004C4ACF">
      <w:pPr>
        <w:spacing w:line="360" w:lineRule="auto"/>
        <w:ind w:left="0" w:right="1693"/>
        <w:rPr>
          <w:rFonts w:cs="Arial"/>
          <w:bCs/>
          <w:szCs w:val="20"/>
          <w:lang w:val="en-GB"/>
        </w:rPr>
      </w:pPr>
    </w:p>
    <w:p w14:paraId="06D1BBF8" w14:textId="40E859E3" w:rsidR="00446F4E" w:rsidRPr="004178EE" w:rsidRDefault="007104F7" w:rsidP="004C4ACF">
      <w:pPr>
        <w:spacing w:line="360" w:lineRule="auto"/>
        <w:ind w:left="0" w:right="1693"/>
        <w:rPr>
          <w:rFonts w:cs="Arial"/>
          <w:bCs/>
          <w:szCs w:val="20"/>
          <w:lang w:val="en-GB"/>
        </w:rPr>
      </w:pPr>
      <w:r w:rsidRPr="004178EE">
        <w:rPr>
          <w:rFonts w:cs="Arial"/>
          <w:bCs/>
          <w:szCs w:val="20"/>
          <w:lang w:val="en-GB"/>
        </w:rPr>
        <w:t>The TGW booth at LogiMAT applies an open communication concept. In addition to modules, systems and solutions, reference projects for notable customers such as Coop, PUMA, Fource and Engelbert Strauss will also be highlighted.</w:t>
      </w:r>
    </w:p>
    <w:p w14:paraId="3724D7BC" w14:textId="77777777" w:rsidR="00805136" w:rsidRPr="004178EE" w:rsidRDefault="00805136" w:rsidP="004C4ACF">
      <w:pPr>
        <w:spacing w:line="360" w:lineRule="auto"/>
        <w:ind w:left="0" w:right="1693"/>
        <w:rPr>
          <w:rFonts w:cs="Arial"/>
          <w:bCs/>
          <w:szCs w:val="20"/>
          <w:lang w:val="en-GB"/>
        </w:rPr>
      </w:pPr>
    </w:p>
    <w:p w14:paraId="1B751B72" w14:textId="384061BB" w:rsidR="00805136" w:rsidRPr="004178EE" w:rsidRDefault="004178EE" w:rsidP="004C4ACF">
      <w:pPr>
        <w:spacing w:line="360" w:lineRule="auto"/>
        <w:ind w:left="0" w:right="1693"/>
        <w:rPr>
          <w:rFonts w:cs="Arial"/>
          <w:b/>
          <w:bCs/>
          <w:szCs w:val="20"/>
          <w:lang w:val="en-GB"/>
        </w:rPr>
      </w:pPr>
      <w:r>
        <w:rPr>
          <w:rFonts w:cs="Arial"/>
          <w:b/>
          <w:bCs/>
          <w:szCs w:val="20"/>
          <w:lang w:val="en-GB"/>
        </w:rPr>
        <w:t xml:space="preserve">Digital </w:t>
      </w:r>
      <w:r w:rsidR="00D56906">
        <w:rPr>
          <w:rFonts w:cs="Arial"/>
          <w:b/>
          <w:bCs/>
          <w:szCs w:val="20"/>
          <w:lang w:val="en-GB"/>
        </w:rPr>
        <w:t>L</w:t>
      </w:r>
      <w:r>
        <w:rPr>
          <w:rFonts w:cs="Arial"/>
          <w:b/>
          <w:bCs/>
          <w:szCs w:val="20"/>
          <w:lang w:val="en-GB"/>
        </w:rPr>
        <w:t>ife</w:t>
      </w:r>
      <w:r w:rsidR="00805136" w:rsidRPr="004178EE">
        <w:rPr>
          <w:rFonts w:cs="Arial"/>
          <w:b/>
          <w:bCs/>
          <w:szCs w:val="20"/>
          <w:lang w:val="en-GB"/>
        </w:rPr>
        <w:t>cycle</w:t>
      </w:r>
    </w:p>
    <w:p w14:paraId="76AA9736" w14:textId="77777777" w:rsidR="0013383F" w:rsidRPr="004178EE" w:rsidRDefault="0013383F" w:rsidP="004C4ACF">
      <w:pPr>
        <w:spacing w:line="360" w:lineRule="auto"/>
        <w:ind w:left="0" w:right="1693"/>
        <w:rPr>
          <w:rFonts w:cs="Arial"/>
          <w:bCs/>
          <w:szCs w:val="20"/>
          <w:lang w:val="en-GB"/>
        </w:rPr>
      </w:pPr>
    </w:p>
    <w:p w14:paraId="0977F8AB" w14:textId="52DB992D" w:rsidR="006D6390" w:rsidRDefault="00446F4E" w:rsidP="004C4ACF">
      <w:pPr>
        <w:spacing w:line="360" w:lineRule="auto"/>
        <w:ind w:left="0" w:right="1693"/>
        <w:rPr>
          <w:lang w:val="en-GB"/>
        </w:rPr>
      </w:pPr>
      <w:r w:rsidRPr="004178EE">
        <w:rPr>
          <w:rFonts w:cs="Arial"/>
          <w:bCs/>
          <w:szCs w:val="20"/>
          <w:lang w:val="en-GB"/>
        </w:rPr>
        <w:t>The TGW Digital Lifecycle's services and products cover the three phases of planning, realisation and Lifetime Services.</w:t>
      </w:r>
      <w:r w:rsidRPr="004178EE">
        <w:rPr>
          <w:lang w:val="en-GB"/>
        </w:rPr>
        <w:t xml:space="preserve"> More than 600 IT specialists look after over 500 systems around the globe. They develop new applications, implement tools and maintain logistics centres during live operation.</w:t>
      </w:r>
    </w:p>
    <w:p w14:paraId="4D904191" w14:textId="77777777" w:rsidR="00D56906" w:rsidRPr="004178EE" w:rsidRDefault="00D56906" w:rsidP="004C4ACF">
      <w:pPr>
        <w:spacing w:line="360" w:lineRule="auto"/>
        <w:ind w:left="0" w:right="1693"/>
        <w:rPr>
          <w:lang w:val="en-GB"/>
        </w:rPr>
      </w:pPr>
    </w:p>
    <w:p w14:paraId="5A8B69F2" w14:textId="77777777" w:rsidR="00805136" w:rsidRPr="004178EE" w:rsidRDefault="00805136" w:rsidP="004C4ACF">
      <w:pPr>
        <w:spacing w:line="360" w:lineRule="auto"/>
        <w:ind w:left="0" w:right="1693"/>
        <w:rPr>
          <w:rFonts w:cs="Arial"/>
          <w:b/>
          <w:bCs/>
          <w:szCs w:val="20"/>
          <w:lang w:val="en-GB"/>
        </w:rPr>
      </w:pPr>
      <w:r w:rsidRPr="004178EE">
        <w:rPr>
          <w:rFonts w:cs="Arial"/>
          <w:b/>
          <w:bCs/>
          <w:szCs w:val="20"/>
          <w:lang w:val="en-GB"/>
        </w:rPr>
        <w:lastRenderedPageBreak/>
        <w:t>Efficiency, transparency and return on investment</w:t>
      </w:r>
    </w:p>
    <w:p w14:paraId="316C611A" w14:textId="77777777" w:rsidR="00805136" w:rsidRPr="004178EE" w:rsidRDefault="00805136" w:rsidP="004C4ACF">
      <w:pPr>
        <w:spacing w:line="360" w:lineRule="auto"/>
        <w:ind w:left="0" w:right="1693"/>
        <w:rPr>
          <w:rFonts w:cs="Arial"/>
          <w:bCs/>
          <w:szCs w:val="20"/>
          <w:lang w:val="en-GB"/>
        </w:rPr>
      </w:pPr>
    </w:p>
    <w:p w14:paraId="25D5E369" w14:textId="6AAB7CC9" w:rsidR="0096506B" w:rsidRPr="004178EE" w:rsidRDefault="007A5FAD" w:rsidP="004C4ACF">
      <w:pPr>
        <w:spacing w:line="360" w:lineRule="auto"/>
        <w:ind w:left="0" w:right="1693"/>
        <w:rPr>
          <w:rFonts w:cs="Arial"/>
          <w:bCs/>
          <w:szCs w:val="20"/>
          <w:lang w:val="en-GB"/>
        </w:rPr>
      </w:pPr>
      <w:r w:rsidRPr="004178EE">
        <w:rPr>
          <w:rFonts w:cs="Arial"/>
          <w:bCs/>
          <w:szCs w:val="20"/>
          <w:lang w:val="en-GB"/>
        </w:rPr>
        <w:t>The topics of efficiency, transparency and a short return on investment take centre stage in this context</w:t>
      </w:r>
      <w:r w:rsidR="00D56906">
        <w:rPr>
          <w:rFonts w:cs="Arial"/>
          <w:bCs/>
          <w:szCs w:val="20"/>
          <w:lang w:val="en-GB"/>
        </w:rPr>
        <w:t>. An integration project's life</w:t>
      </w:r>
      <w:r w:rsidRPr="004178EE">
        <w:rPr>
          <w:rFonts w:cs="Arial"/>
          <w:bCs/>
          <w:szCs w:val="20"/>
          <w:lang w:val="en-GB"/>
        </w:rPr>
        <w:t xml:space="preserve">cycle takes place digitally, from the first data analysis all the way to final acceptance. Digital services also ensure optimum performance during live operation. Thus, TGW offers maximum availability and reliability, in keeping with the motto "We keep your business running." </w:t>
      </w:r>
    </w:p>
    <w:p w14:paraId="1981F921" w14:textId="77777777" w:rsidR="0042095D" w:rsidRPr="004178EE" w:rsidRDefault="0042095D" w:rsidP="004C4ACF">
      <w:pPr>
        <w:spacing w:line="360" w:lineRule="auto"/>
        <w:ind w:left="0" w:right="1693"/>
        <w:rPr>
          <w:rFonts w:cs="Arial"/>
          <w:bCs/>
          <w:szCs w:val="20"/>
          <w:lang w:val="en-GB"/>
        </w:rPr>
      </w:pPr>
    </w:p>
    <w:p w14:paraId="2A3F337E" w14:textId="6C204F2A" w:rsidR="0042095D" w:rsidRPr="004178EE" w:rsidRDefault="00FD06FE" w:rsidP="004C4ACF">
      <w:pPr>
        <w:spacing w:line="360" w:lineRule="auto"/>
        <w:ind w:left="0" w:right="1693"/>
        <w:rPr>
          <w:rFonts w:cs="Arial"/>
          <w:bCs/>
          <w:szCs w:val="20"/>
          <w:lang w:val="en-GB"/>
        </w:rPr>
      </w:pPr>
      <w:r w:rsidRPr="004178EE">
        <w:rPr>
          <w:rFonts w:cs="Arial"/>
          <w:bCs/>
          <w:szCs w:val="20"/>
          <w:lang w:val="en-GB"/>
        </w:rPr>
        <w:t>To that end, TGW uses a variety of both well-established and newly-developed resources. Examples of digital tools for system design include 3D layouts, simulations and intelligent data analyses. In the realisation phase, TGW employs agile implementation, emulation and performance checks. In regard to operation, customers profit from virtual testing environments, remote services, proactive monitoring and more. The multi-award-winning picking robot Rovolution boasts a digital twin: a complete digital representation that grows alongside the physical installation and is connected to it in real time.</w:t>
      </w:r>
    </w:p>
    <w:p w14:paraId="55A72DB5" w14:textId="77777777" w:rsidR="00805136" w:rsidRPr="004178EE" w:rsidRDefault="00805136" w:rsidP="004C4ACF">
      <w:pPr>
        <w:spacing w:line="360" w:lineRule="auto"/>
        <w:ind w:left="0" w:right="1693"/>
        <w:rPr>
          <w:rFonts w:cs="Arial"/>
          <w:bCs/>
          <w:szCs w:val="20"/>
          <w:lang w:val="en-GB"/>
        </w:rPr>
      </w:pPr>
    </w:p>
    <w:p w14:paraId="099156CB" w14:textId="0B2EE3A6" w:rsidR="00805136" w:rsidRPr="004178EE" w:rsidRDefault="00805136" w:rsidP="004C4ACF">
      <w:pPr>
        <w:spacing w:line="360" w:lineRule="auto"/>
        <w:ind w:left="0" w:right="1693"/>
        <w:rPr>
          <w:rFonts w:cs="Arial"/>
          <w:b/>
          <w:bCs/>
          <w:szCs w:val="20"/>
          <w:lang w:val="en-GB"/>
        </w:rPr>
      </w:pPr>
      <w:r w:rsidRPr="004178EE">
        <w:rPr>
          <w:rFonts w:cs="Arial"/>
          <w:b/>
          <w:bCs/>
          <w:szCs w:val="20"/>
          <w:lang w:val="en-GB"/>
        </w:rPr>
        <w:t>Service from a single source: from software to mechatronics</w:t>
      </w:r>
    </w:p>
    <w:p w14:paraId="27BB5BA6" w14:textId="77777777" w:rsidR="001713BB" w:rsidRPr="004178EE" w:rsidRDefault="001713BB" w:rsidP="004C4ACF">
      <w:pPr>
        <w:spacing w:line="360" w:lineRule="auto"/>
        <w:ind w:left="0" w:right="1693"/>
        <w:rPr>
          <w:rFonts w:cs="Arial"/>
          <w:bCs/>
          <w:szCs w:val="20"/>
          <w:lang w:val="en-GB"/>
        </w:rPr>
      </w:pPr>
    </w:p>
    <w:p w14:paraId="59B7C818" w14:textId="08B475F7" w:rsidR="00A567D8" w:rsidRPr="004178EE" w:rsidRDefault="0058409A" w:rsidP="004C4ACF">
      <w:pPr>
        <w:spacing w:line="360" w:lineRule="auto"/>
        <w:ind w:left="0" w:right="1693"/>
        <w:rPr>
          <w:rFonts w:cs="Arial"/>
          <w:bCs/>
          <w:szCs w:val="20"/>
          <w:lang w:val="en-GB"/>
        </w:rPr>
      </w:pPr>
      <w:r w:rsidRPr="004178EE">
        <w:rPr>
          <w:rFonts w:cs="Arial"/>
          <w:bCs/>
          <w:szCs w:val="20"/>
          <w:lang w:val="en-GB"/>
        </w:rPr>
        <w:t xml:space="preserve">Companies that put their trust in TGW also have the advantage of receiving everything from a single source. Unlike software providers, the systems integrator plans and implements systems, produces the mechatronic components and also handles the complex software integration. This enables TGW to gather data from all applications, products and solutions and evaluate, visualise and optimise them in a uniform system. </w:t>
      </w:r>
    </w:p>
    <w:p w14:paraId="7A8423EC" w14:textId="77777777" w:rsidR="00A567D8" w:rsidRPr="004178EE" w:rsidRDefault="00A567D8" w:rsidP="004C4ACF">
      <w:pPr>
        <w:spacing w:line="360" w:lineRule="auto"/>
        <w:ind w:left="0" w:right="1693"/>
        <w:rPr>
          <w:rFonts w:cs="Arial"/>
          <w:bCs/>
          <w:szCs w:val="20"/>
          <w:lang w:val="en-GB"/>
        </w:rPr>
      </w:pPr>
    </w:p>
    <w:p w14:paraId="3A630175" w14:textId="77777777" w:rsidR="00805136" w:rsidRPr="004178EE" w:rsidRDefault="005D2283" w:rsidP="006231AE">
      <w:pPr>
        <w:spacing w:line="360" w:lineRule="auto"/>
        <w:ind w:left="0" w:right="1693"/>
        <w:rPr>
          <w:rFonts w:cs="Arial"/>
          <w:bCs/>
          <w:szCs w:val="20"/>
          <w:lang w:val="en-GB"/>
        </w:rPr>
      </w:pPr>
      <w:r w:rsidRPr="004178EE">
        <w:rPr>
          <w:rFonts w:cs="Arial"/>
          <w:bCs/>
          <w:szCs w:val="20"/>
          <w:lang w:val="en-GB"/>
        </w:rPr>
        <w:t xml:space="preserve">The use of modern technology such as artificial intelligence is becoming more and more important in this context. Future scenarios can be modelled with the help of self-learning algorithms. "Interconnected intra-logistics systems that are capable of learning and self-optimisation will play a huge role in the very near future. Our customers profit greatly from these advantages," affirms Johann Steinkellner, CEO Central Europe at TGW. </w:t>
      </w:r>
    </w:p>
    <w:p w14:paraId="033BAE90" w14:textId="77777777" w:rsidR="005D2283" w:rsidRPr="004178EE" w:rsidRDefault="005D2283" w:rsidP="003C0CE6">
      <w:pPr>
        <w:spacing w:line="360" w:lineRule="auto"/>
        <w:ind w:left="0" w:right="1693"/>
        <w:rPr>
          <w:lang w:val="en-GB"/>
        </w:rPr>
      </w:pPr>
    </w:p>
    <w:p w14:paraId="23A4819D" w14:textId="77777777" w:rsidR="00264FCF" w:rsidRDefault="00F13D14" w:rsidP="003C0CE6">
      <w:pPr>
        <w:spacing w:line="360" w:lineRule="auto"/>
        <w:ind w:left="0" w:right="1693"/>
        <w:rPr>
          <w:rStyle w:val="Hyperlink"/>
          <w:lang w:val="en-US"/>
        </w:rPr>
      </w:pPr>
      <w:hyperlink r:id="rId11" w:history="1">
        <w:r w:rsidR="005718BF" w:rsidRPr="004178EE">
          <w:rPr>
            <w:rStyle w:val="Hyperlink"/>
            <w:lang w:val="en-GB"/>
          </w:rPr>
          <w:t>www.tgw-group.com</w:t>
        </w:r>
      </w:hyperlink>
    </w:p>
    <w:p w14:paraId="790D1975" w14:textId="77777777" w:rsidR="005D2283" w:rsidRDefault="005D2283" w:rsidP="003C0CE6">
      <w:pPr>
        <w:spacing w:line="360" w:lineRule="auto"/>
        <w:ind w:left="0" w:right="1693"/>
        <w:rPr>
          <w:lang w:val="en-US"/>
        </w:rPr>
      </w:pPr>
    </w:p>
    <w:p w14:paraId="0696A1E8" w14:textId="570E9310" w:rsidR="007104F7" w:rsidRDefault="007104F7" w:rsidP="003C0CE6">
      <w:pPr>
        <w:spacing w:line="360" w:lineRule="auto"/>
        <w:ind w:left="0" w:right="1693"/>
        <w:rPr>
          <w:lang w:val="en-US"/>
        </w:rPr>
      </w:pPr>
    </w:p>
    <w:p w14:paraId="652CADB1" w14:textId="58F4DC88" w:rsidR="00CF2559" w:rsidRDefault="00CF2559" w:rsidP="003C0CE6">
      <w:pPr>
        <w:spacing w:line="360" w:lineRule="auto"/>
        <w:ind w:left="0" w:right="1693"/>
        <w:rPr>
          <w:lang w:val="en-US"/>
        </w:rPr>
      </w:pPr>
    </w:p>
    <w:p w14:paraId="44BD1FD4" w14:textId="12E497A4" w:rsidR="00F13D14" w:rsidRDefault="00F13D14" w:rsidP="003C0CE6">
      <w:pPr>
        <w:spacing w:line="360" w:lineRule="auto"/>
        <w:ind w:left="0" w:right="1693"/>
        <w:rPr>
          <w:lang w:val="en-US"/>
        </w:rPr>
      </w:pPr>
    </w:p>
    <w:p w14:paraId="669A21E7" w14:textId="23A46C44" w:rsidR="00F13D14" w:rsidRDefault="00F13D14" w:rsidP="003C0CE6">
      <w:pPr>
        <w:spacing w:line="360" w:lineRule="auto"/>
        <w:ind w:left="0" w:right="1693"/>
        <w:rPr>
          <w:lang w:val="en-US"/>
        </w:rPr>
      </w:pPr>
    </w:p>
    <w:p w14:paraId="75DA335C" w14:textId="77777777" w:rsidR="00F13D14" w:rsidRDefault="00F13D14" w:rsidP="003C0CE6">
      <w:pPr>
        <w:spacing w:line="360" w:lineRule="auto"/>
        <w:ind w:left="0" w:right="1693"/>
        <w:rPr>
          <w:lang w:val="en-US"/>
        </w:rPr>
      </w:pPr>
      <w:bookmarkStart w:id="0" w:name="_GoBack"/>
      <w:bookmarkEnd w:id="0"/>
    </w:p>
    <w:p w14:paraId="5BCDF342" w14:textId="77777777" w:rsidR="00F25565" w:rsidRDefault="00F25565" w:rsidP="003C0CE6">
      <w:pPr>
        <w:spacing w:line="360" w:lineRule="auto"/>
        <w:ind w:left="0" w:right="1693"/>
        <w:rPr>
          <w:lang w:val="en-US"/>
        </w:rPr>
      </w:pPr>
    </w:p>
    <w:p w14:paraId="06FA0ABD" w14:textId="77777777" w:rsidR="00AE6334" w:rsidRPr="00542857" w:rsidRDefault="00AE6334" w:rsidP="003C0CE6">
      <w:pPr>
        <w:spacing w:line="360" w:lineRule="auto"/>
        <w:ind w:left="0" w:right="1693"/>
        <w:rPr>
          <w:lang w:val="en-US"/>
        </w:rPr>
      </w:pPr>
    </w:p>
    <w:p w14:paraId="417AAD62" w14:textId="77777777" w:rsidR="00BC7952" w:rsidRPr="00542857" w:rsidRDefault="00BC7952" w:rsidP="00BC7952">
      <w:pPr>
        <w:spacing w:line="240" w:lineRule="auto"/>
        <w:ind w:left="0" w:right="1693"/>
        <w:rPr>
          <w:rStyle w:val="Hyperlink"/>
          <w:b/>
          <w:color w:val="auto"/>
          <w:u w:val="none"/>
          <w:lang w:val="en-US"/>
        </w:rPr>
      </w:pPr>
      <w:r w:rsidRPr="004178EE">
        <w:rPr>
          <w:rStyle w:val="Hyperlink"/>
          <w:b/>
          <w:color w:val="auto"/>
          <w:u w:val="none"/>
          <w:lang w:val="en-GB"/>
        </w:rPr>
        <w:lastRenderedPageBreak/>
        <w:t>About TGW Logistics Group:</w:t>
      </w:r>
    </w:p>
    <w:p w14:paraId="1A5A4F56"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4178EE">
        <w:rPr>
          <w:rStyle w:val="Hyperlink"/>
          <w:color w:val="auto"/>
          <w:u w:val="none"/>
          <w:lang w:val="en-GB"/>
        </w:rPr>
        <w:t>A</w:t>
      </w:r>
      <w:proofErr w:type="gramEnd"/>
      <w:r w:rsidRPr="004178EE">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15A25BB4" w14:textId="77777777" w:rsidR="00BC7952" w:rsidRPr="004178EE" w:rsidRDefault="00BC7952" w:rsidP="00BC7952">
      <w:pPr>
        <w:spacing w:line="240" w:lineRule="auto"/>
        <w:ind w:left="0" w:right="1693"/>
        <w:rPr>
          <w:rStyle w:val="Hyperlink"/>
          <w:color w:val="auto"/>
          <w:u w:val="none"/>
          <w:lang w:val="en-GB"/>
        </w:rPr>
      </w:pPr>
    </w:p>
    <w:p w14:paraId="10A4CA7B"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TGW Logistics Group has subsidiaries in Europe, China and the US and more than 4,000 employees worldwide. In the 2020/2021 business year, the company generated a total turnover of 813 million euros.</w:t>
      </w:r>
    </w:p>
    <w:p w14:paraId="1CF88C1B" w14:textId="77777777" w:rsidR="00BC7952" w:rsidRPr="004178EE" w:rsidRDefault="00BC7952" w:rsidP="00BC7952">
      <w:pPr>
        <w:spacing w:line="240" w:lineRule="auto"/>
        <w:ind w:left="0" w:right="1693"/>
        <w:rPr>
          <w:rStyle w:val="Hyperlink"/>
          <w:color w:val="auto"/>
          <w:u w:val="none"/>
          <w:lang w:val="en-GB"/>
        </w:rPr>
      </w:pPr>
    </w:p>
    <w:p w14:paraId="06239CDD" w14:textId="77777777" w:rsidR="00BC7952" w:rsidRPr="004178EE" w:rsidRDefault="00BC7952" w:rsidP="00BC7952">
      <w:pPr>
        <w:spacing w:line="240" w:lineRule="auto"/>
        <w:ind w:left="0" w:right="1693"/>
        <w:rPr>
          <w:rStyle w:val="Hyperlink"/>
          <w:color w:val="auto"/>
          <w:u w:val="none"/>
          <w:lang w:val="en-GB"/>
        </w:rPr>
      </w:pPr>
    </w:p>
    <w:p w14:paraId="1F456E7A" w14:textId="77777777" w:rsidR="00BC7952" w:rsidRPr="004178EE" w:rsidRDefault="00BC7952" w:rsidP="00BC7952">
      <w:pPr>
        <w:spacing w:line="240" w:lineRule="auto"/>
        <w:ind w:left="0" w:right="1693"/>
        <w:rPr>
          <w:rStyle w:val="Hyperlink"/>
          <w:color w:val="auto"/>
          <w:u w:val="none"/>
          <w:lang w:val="en-GB"/>
        </w:rPr>
      </w:pPr>
    </w:p>
    <w:p w14:paraId="45AC0DE5" w14:textId="77777777" w:rsidR="00BC7952" w:rsidRPr="004178EE" w:rsidRDefault="00BC7952" w:rsidP="00BC7952">
      <w:pPr>
        <w:spacing w:line="240" w:lineRule="auto"/>
        <w:ind w:left="0" w:right="1693"/>
        <w:rPr>
          <w:rStyle w:val="Hyperlink"/>
          <w:b/>
          <w:color w:val="auto"/>
          <w:u w:val="none"/>
          <w:lang w:val="en-GB"/>
        </w:rPr>
      </w:pPr>
      <w:r w:rsidRPr="004178EE">
        <w:rPr>
          <w:rStyle w:val="Hyperlink"/>
          <w:b/>
          <w:color w:val="auto"/>
          <w:u w:val="none"/>
          <w:lang w:val="en-GB"/>
        </w:rPr>
        <w:t>Pictures:</w:t>
      </w:r>
    </w:p>
    <w:p w14:paraId="749DE048"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Reprint with reference to TGW Logistics Group GmbH free of charge. Reprint is not permitted for promotional purposes.</w:t>
      </w:r>
    </w:p>
    <w:p w14:paraId="67B21F0B" w14:textId="77777777" w:rsidR="00BC7952" w:rsidRPr="004178EE" w:rsidRDefault="00BC7952" w:rsidP="00BC7952">
      <w:pPr>
        <w:spacing w:line="240" w:lineRule="auto"/>
        <w:ind w:left="0" w:right="1693"/>
        <w:rPr>
          <w:rStyle w:val="Hyperlink"/>
          <w:color w:val="auto"/>
          <w:u w:val="none"/>
          <w:lang w:val="en-GB"/>
        </w:rPr>
      </w:pPr>
    </w:p>
    <w:p w14:paraId="375DD09F" w14:textId="77777777" w:rsidR="00BC7952" w:rsidRPr="004178EE" w:rsidRDefault="00BC7952" w:rsidP="00BC7952">
      <w:pPr>
        <w:spacing w:line="240" w:lineRule="auto"/>
        <w:ind w:left="0" w:right="1693"/>
        <w:rPr>
          <w:rStyle w:val="Hyperlink"/>
          <w:color w:val="auto"/>
          <w:u w:val="none"/>
          <w:lang w:val="en-GB"/>
        </w:rPr>
      </w:pPr>
    </w:p>
    <w:p w14:paraId="2519459F" w14:textId="77777777" w:rsidR="00BC7952" w:rsidRPr="004178EE" w:rsidRDefault="00BC7952" w:rsidP="00BC7952">
      <w:pPr>
        <w:spacing w:line="240" w:lineRule="auto"/>
        <w:ind w:left="0" w:right="1693"/>
        <w:rPr>
          <w:rStyle w:val="Hyperlink"/>
          <w:b/>
          <w:color w:val="auto"/>
          <w:u w:val="none"/>
          <w:lang w:val="en-GB"/>
        </w:rPr>
      </w:pPr>
      <w:r w:rsidRPr="004178EE">
        <w:rPr>
          <w:rStyle w:val="Hyperlink"/>
          <w:b/>
          <w:color w:val="auto"/>
          <w:u w:val="none"/>
          <w:lang w:val="en-GB"/>
        </w:rPr>
        <w:t>Contact:</w:t>
      </w:r>
    </w:p>
    <w:p w14:paraId="5590A0C7"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TGW Logistics Group GmbH</w:t>
      </w:r>
    </w:p>
    <w:p w14:paraId="2874DF17"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269F454E"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473293E8"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7A610B90"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78057CCF" w14:textId="77777777" w:rsidR="00BC7952" w:rsidRDefault="00BC7952" w:rsidP="00BC7952">
      <w:pPr>
        <w:spacing w:line="240" w:lineRule="auto"/>
        <w:ind w:left="0" w:right="1693"/>
        <w:rPr>
          <w:rStyle w:val="Hyperlink"/>
          <w:color w:val="auto"/>
          <w:u w:val="none"/>
        </w:rPr>
      </w:pPr>
    </w:p>
    <w:p w14:paraId="059207D1" w14:textId="77777777" w:rsidR="00F92A0D" w:rsidRDefault="00F92A0D" w:rsidP="00BC7952">
      <w:pPr>
        <w:spacing w:line="240" w:lineRule="auto"/>
        <w:ind w:left="0" w:right="1693"/>
        <w:rPr>
          <w:rStyle w:val="Hyperlink"/>
          <w:color w:val="auto"/>
          <w:u w:val="none"/>
        </w:rPr>
      </w:pPr>
    </w:p>
    <w:p w14:paraId="4E427EB8" w14:textId="77777777" w:rsidR="00F92A0D" w:rsidRDefault="00F92A0D" w:rsidP="00BC7952">
      <w:pPr>
        <w:spacing w:line="240" w:lineRule="auto"/>
        <w:ind w:left="0" w:right="1693"/>
        <w:rPr>
          <w:rStyle w:val="Hyperlink"/>
          <w:color w:val="auto"/>
          <w:u w:val="none"/>
          <w:lang w:val="en-AU"/>
        </w:rPr>
      </w:pPr>
      <w:r w:rsidRPr="004178EE">
        <w:rPr>
          <w:rStyle w:val="Hyperlink"/>
          <w:color w:val="auto"/>
          <w:u w:val="none"/>
          <w:lang w:val="en-GB"/>
        </w:rPr>
        <w:t>Press contact:</w:t>
      </w:r>
    </w:p>
    <w:p w14:paraId="68042F9C" w14:textId="77777777" w:rsidR="00F92A0D" w:rsidRPr="00D1043D" w:rsidRDefault="00BC7952" w:rsidP="00BC7952">
      <w:pPr>
        <w:spacing w:line="240" w:lineRule="auto"/>
        <w:ind w:left="0" w:right="1693"/>
        <w:rPr>
          <w:rStyle w:val="Hyperlink"/>
          <w:color w:val="auto"/>
          <w:u w:val="none"/>
          <w:lang w:val="en-AU"/>
        </w:rPr>
      </w:pPr>
      <w:r w:rsidRPr="004178EE">
        <w:rPr>
          <w:rStyle w:val="Hyperlink"/>
          <w:color w:val="auto"/>
          <w:u w:val="none"/>
          <w:lang w:val="en-GB"/>
        </w:rPr>
        <w:t>Alexander Tahedl</w:t>
      </w:r>
    </w:p>
    <w:p w14:paraId="03A35A8D" w14:textId="77777777" w:rsidR="00BC7952" w:rsidRPr="00D1043D" w:rsidRDefault="00BC7952" w:rsidP="00BC7952">
      <w:pPr>
        <w:spacing w:line="240" w:lineRule="auto"/>
        <w:ind w:left="0" w:right="1693"/>
        <w:rPr>
          <w:rStyle w:val="Hyperlink"/>
          <w:color w:val="auto"/>
          <w:u w:val="none"/>
          <w:lang w:val="en-AU"/>
        </w:rPr>
      </w:pPr>
      <w:r w:rsidRPr="004178EE">
        <w:rPr>
          <w:rStyle w:val="Hyperlink"/>
          <w:color w:val="auto"/>
          <w:u w:val="none"/>
          <w:lang w:val="en-GB"/>
        </w:rPr>
        <w:t>Communications Specialist</w:t>
      </w:r>
    </w:p>
    <w:p w14:paraId="2CD595C3" w14:textId="77777777" w:rsidR="00BC7952" w:rsidRPr="004178EE" w:rsidRDefault="00BC7952" w:rsidP="00BC7952">
      <w:pPr>
        <w:spacing w:line="240" w:lineRule="auto"/>
        <w:ind w:left="0" w:right="1693"/>
        <w:rPr>
          <w:rStyle w:val="Hyperlink"/>
          <w:color w:val="auto"/>
          <w:u w:val="none"/>
        </w:rPr>
      </w:pPr>
      <w:r>
        <w:rPr>
          <w:rStyle w:val="Hyperlink"/>
          <w:color w:val="auto"/>
          <w:u w:val="none"/>
        </w:rPr>
        <w:t>T: +43.50.486-2267</w:t>
      </w:r>
    </w:p>
    <w:p w14:paraId="18DF18B5" w14:textId="77777777" w:rsidR="00BC7952" w:rsidRPr="004178EE" w:rsidRDefault="00BC7952" w:rsidP="00BC7952">
      <w:pPr>
        <w:spacing w:line="240" w:lineRule="auto"/>
        <w:ind w:left="0" w:right="1693"/>
        <w:rPr>
          <w:rStyle w:val="Hyperlink"/>
          <w:color w:val="auto"/>
          <w:u w:val="none"/>
        </w:rPr>
      </w:pPr>
      <w:r>
        <w:rPr>
          <w:rStyle w:val="Hyperlink"/>
          <w:color w:val="auto"/>
          <w:u w:val="none"/>
        </w:rPr>
        <w:t>M: +43.664.88459713</w:t>
      </w:r>
    </w:p>
    <w:p w14:paraId="41C39A71" w14:textId="77777777" w:rsidR="00BC7952" w:rsidRPr="004178EE" w:rsidRDefault="00BC7952" w:rsidP="00BC7952">
      <w:pPr>
        <w:spacing w:line="240" w:lineRule="auto"/>
        <w:ind w:left="0" w:right="1693"/>
      </w:pPr>
      <w:r>
        <w:rPr>
          <w:rStyle w:val="Hyperlink"/>
          <w:color w:val="auto"/>
          <w:u w:val="none"/>
        </w:rPr>
        <w:t>alexander.tahedl@tgw-group.com</w:t>
      </w:r>
    </w:p>
    <w:p w14:paraId="0808ADDB" w14:textId="77777777" w:rsidR="00BC7952" w:rsidRPr="004178EE" w:rsidRDefault="00BC7952" w:rsidP="00BC7952">
      <w:pPr>
        <w:spacing w:line="240" w:lineRule="auto"/>
        <w:ind w:left="0" w:right="1693"/>
        <w:rPr>
          <w:rStyle w:val="Hyperlink"/>
          <w:color w:val="auto"/>
          <w:u w:val="none"/>
        </w:rPr>
      </w:pPr>
    </w:p>
    <w:p w14:paraId="50026501" w14:textId="77777777" w:rsidR="00F92A0D" w:rsidRPr="004178EE" w:rsidRDefault="00F92A0D" w:rsidP="00BC7952">
      <w:pPr>
        <w:spacing w:line="240" w:lineRule="auto"/>
        <w:ind w:left="0" w:right="1693"/>
        <w:rPr>
          <w:rStyle w:val="Hyperlink"/>
          <w:color w:val="auto"/>
          <w:u w:val="none"/>
        </w:rPr>
      </w:pPr>
    </w:p>
    <w:p w14:paraId="06E9A4EB" w14:textId="77777777" w:rsidR="00BC7952" w:rsidRPr="00D1043D" w:rsidRDefault="00BC7952" w:rsidP="00BC7952">
      <w:pPr>
        <w:spacing w:line="240" w:lineRule="auto"/>
        <w:ind w:left="0" w:right="1693"/>
        <w:rPr>
          <w:rStyle w:val="Hyperlink"/>
          <w:color w:val="auto"/>
          <w:u w:val="none"/>
          <w:lang w:val="en-AU"/>
        </w:rPr>
      </w:pPr>
      <w:r w:rsidRPr="004178EE">
        <w:rPr>
          <w:rStyle w:val="Hyperlink"/>
          <w:color w:val="auto"/>
          <w:u w:val="none"/>
          <w:lang w:val="en-GB"/>
        </w:rPr>
        <w:t>Martin Kirchmayr</w:t>
      </w:r>
    </w:p>
    <w:p w14:paraId="4C687EC5" w14:textId="77777777" w:rsidR="00BC7952" w:rsidRPr="00D1043D" w:rsidRDefault="00BC7952" w:rsidP="00BC7952">
      <w:pPr>
        <w:spacing w:line="240" w:lineRule="auto"/>
        <w:ind w:left="0" w:right="1693"/>
        <w:rPr>
          <w:rStyle w:val="Hyperlink"/>
          <w:color w:val="auto"/>
          <w:u w:val="none"/>
          <w:lang w:val="en-AU"/>
        </w:rPr>
      </w:pPr>
      <w:r w:rsidRPr="004178EE">
        <w:rPr>
          <w:rStyle w:val="Hyperlink"/>
          <w:color w:val="auto"/>
          <w:u w:val="none"/>
          <w:lang w:val="en-GB"/>
        </w:rPr>
        <w:t>Director Marketing &amp; Communications</w:t>
      </w:r>
    </w:p>
    <w:p w14:paraId="5FD43CA2"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T: +43.50.486-1382</w:t>
      </w:r>
    </w:p>
    <w:p w14:paraId="6C26F05C"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M: +43.664.8187423</w:t>
      </w:r>
    </w:p>
    <w:p w14:paraId="2CDFEDA3" w14:textId="77777777" w:rsidR="00BC7952" w:rsidRPr="004178EE" w:rsidRDefault="00BC7952" w:rsidP="00BC7952">
      <w:pPr>
        <w:spacing w:line="240" w:lineRule="auto"/>
        <w:ind w:left="0" w:right="1693"/>
        <w:rPr>
          <w:rStyle w:val="Hyperlink"/>
          <w:color w:val="auto"/>
          <w:u w:val="none"/>
          <w:lang w:val="en-GB"/>
        </w:rPr>
      </w:pPr>
      <w:r w:rsidRPr="004178EE">
        <w:rPr>
          <w:rStyle w:val="Hyperlink"/>
          <w:color w:val="auto"/>
          <w:u w:val="none"/>
          <w:lang w:val="en-GB"/>
        </w:rPr>
        <w:t>martin.kirchmayr@tgw-group.com</w:t>
      </w:r>
    </w:p>
    <w:p w14:paraId="25AC5591" w14:textId="77777777" w:rsidR="00BC7952" w:rsidRPr="004178EE" w:rsidRDefault="00BC7952" w:rsidP="00BC7952">
      <w:pPr>
        <w:spacing w:line="240" w:lineRule="auto"/>
        <w:ind w:left="0" w:right="1693"/>
        <w:rPr>
          <w:rStyle w:val="Hyperlink"/>
          <w:color w:val="auto"/>
          <w:u w:val="none"/>
          <w:lang w:val="en-GB"/>
        </w:rPr>
      </w:pPr>
    </w:p>
    <w:p w14:paraId="5F5B5CDD" w14:textId="77777777" w:rsidR="00BC7952" w:rsidRPr="004178EE" w:rsidRDefault="00BC7952" w:rsidP="00BC7952">
      <w:pPr>
        <w:spacing w:line="240" w:lineRule="auto"/>
        <w:ind w:left="0" w:right="1693"/>
        <w:rPr>
          <w:lang w:val="en-GB"/>
        </w:rPr>
      </w:pPr>
    </w:p>
    <w:p w14:paraId="4F06652C" w14:textId="77777777" w:rsidR="006231AE" w:rsidRPr="004178EE" w:rsidRDefault="006231AE" w:rsidP="006231AE">
      <w:pPr>
        <w:ind w:left="0" w:right="1693"/>
        <w:rPr>
          <w:lang w:val="en-GB"/>
        </w:rPr>
      </w:pPr>
    </w:p>
    <w:sectPr w:rsidR="006231AE" w:rsidRPr="004178EE"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34CE" w14:textId="77777777" w:rsidR="00A563F6" w:rsidRDefault="00A563F6" w:rsidP="00764006">
      <w:pPr>
        <w:spacing w:line="240" w:lineRule="auto"/>
      </w:pPr>
      <w:r>
        <w:separator/>
      </w:r>
    </w:p>
  </w:endnote>
  <w:endnote w:type="continuationSeparator" w:id="0">
    <w:p w14:paraId="62284835" w14:textId="77777777" w:rsidR="00A563F6" w:rsidRDefault="00A563F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78C5E4B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13D14">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13D14">
            <w:rPr>
              <w:noProof/>
              <w:sz w:val="16"/>
              <w:szCs w:val="16"/>
            </w:rPr>
            <w:t>3</w:t>
          </w:r>
          <w: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F0385" w14:textId="77777777" w:rsidR="00A563F6" w:rsidRDefault="00A563F6" w:rsidP="00764006">
      <w:pPr>
        <w:spacing w:line="240" w:lineRule="auto"/>
      </w:pPr>
      <w:r>
        <w:separator/>
      </w:r>
    </w:p>
  </w:footnote>
  <w:footnote w:type="continuationSeparator" w:id="0">
    <w:p w14:paraId="7679E7D6" w14:textId="77777777" w:rsidR="00A563F6" w:rsidRDefault="00A563F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3E54"/>
    <w:rsid w:val="00415EE9"/>
    <w:rsid w:val="00416095"/>
    <w:rsid w:val="004178EE"/>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8A3"/>
    <w:rsid w:val="00942EDF"/>
    <w:rsid w:val="009440B4"/>
    <w:rsid w:val="0094458E"/>
    <w:rsid w:val="00946640"/>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331"/>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ED"/>
    <w:rsid w:val="00D56906"/>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3D14"/>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57C21-A96E-4F26-8843-C5E573B9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LogiMAT 2022: TGW präsentiert neue digitale Services</vt:lpstr>
    </vt:vector>
  </TitlesOfParts>
  <Company>Klug</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2022: TGW presents new digital services</dc:title>
  <dc:subject/>
  <dc:creator>Tahedl Alexander</dc:creator>
  <cp:keywords>LogiMAT 2022: TGW presents new digital services</cp:keywords>
  <dc:description/>
  <cp:lastModifiedBy>Tahedl Alexander</cp:lastModifiedBy>
  <cp:revision>129</cp:revision>
  <cp:lastPrinted>2022-02-02T15:07:00Z</cp:lastPrinted>
  <dcterms:created xsi:type="dcterms:W3CDTF">2021-08-17T12:30:00Z</dcterms:created>
  <dcterms:modified xsi:type="dcterms:W3CDTF">2022-02-17T07:54:00Z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