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7E14" w14:textId="0FDB77AC" w:rsidR="007E17EC" w:rsidRDefault="007E17EC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1471571A" w14:textId="5BF783C6" w:rsidR="006E5F1B" w:rsidRDefault="006E5F1B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418737F8" w14:textId="77777777" w:rsidR="00E41B7A" w:rsidRPr="007E17EC" w:rsidRDefault="00E41B7A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26FB9E78" w14:textId="5A6AF69A" w:rsidR="00B83BBF" w:rsidRDefault="00A12329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 Spanien feiert 20-</w:t>
      </w:r>
      <w:r w:rsidR="00AE1C55">
        <w:rPr>
          <w:rFonts w:cs="Arial"/>
          <w:b/>
          <w:sz w:val="28"/>
          <w:szCs w:val="28"/>
        </w:rPr>
        <w:t xml:space="preserve">jähriges </w:t>
      </w:r>
      <w:r>
        <w:rPr>
          <w:rFonts w:cs="Arial"/>
          <w:b/>
          <w:sz w:val="28"/>
          <w:szCs w:val="28"/>
        </w:rPr>
        <w:t>Jubiläum</w:t>
      </w:r>
    </w:p>
    <w:p w14:paraId="56F93390" w14:textId="5F98FE00" w:rsidR="00BF03D6" w:rsidRPr="009214DB" w:rsidRDefault="00BF03D6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5912D0A5" w14:textId="1D03E18E" w:rsidR="00E75A7B" w:rsidRPr="00E75A7B" w:rsidRDefault="00E75A7B" w:rsidP="00E75A7B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Auf das Know-how setzen namhafte Unternehmen wie beispielsweise Ahorramas, HiperDino, Mango oder Mayoral</w:t>
      </w:r>
    </w:p>
    <w:p w14:paraId="6C4F19EE" w14:textId="7F3BB936" w:rsidR="00CA032A" w:rsidRDefault="005A1D04" w:rsidP="004C2610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Das P</w:t>
      </w:r>
      <w:r w:rsidR="003D0A8E">
        <w:rPr>
          <w:b/>
          <w:sz w:val="24"/>
          <w:szCs w:val="24"/>
        </w:rPr>
        <w:t>ortfolio umfasst die Planung und Realisierung von hochautomatisierten Logistikzentren ebenso wie deren Betreuung im laufenden Betrieb</w:t>
      </w:r>
    </w:p>
    <w:p w14:paraId="42F7C73F" w14:textId="77777777" w:rsidR="00E75A7B" w:rsidRDefault="00E75A7B" w:rsidP="00E75A7B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Mehr als 150 Mitarbeiter arbeiten für TGW Ibérica Sistemas Logísticos mit Headquarter in Barcelona</w:t>
      </w:r>
    </w:p>
    <w:p w14:paraId="3EA032D1" w14:textId="77777777" w:rsidR="004A046F" w:rsidRPr="009214DB" w:rsidRDefault="004A046F" w:rsidP="004A046F">
      <w:pPr>
        <w:pStyle w:val="Listenabsatz"/>
        <w:spacing w:line="360" w:lineRule="auto"/>
        <w:ind w:right="1693"/>
        <w:jc w:val="left"/>
        <w:rPr>
          <w:b/>
          <w:sz w:val="24"/>
          <w:szCs w:val="24"/>
        </w:rPr>
      </w:pPr>
    </w:p>
    <w:p w14:paraId="336D05B2" w14:textId="14BBFE1B" w:rsidR="00AE1C55" w:rsidRDefault="00BF03D6" w:rsidP="00AE1C55">
      <w:pPr>
        <w:spacing w:line="360" w:lineRule="auto"/>
        <w:ind w:left="0" w:right="1693"/>
        <w:rPr>
          <w:b/>
          <w:szCs w:val="20"/>
        </w:rPr>
      </w:pPr>
      <w:r w:rsidRPr="000F5045">
        <w:rPr>
          <w:b/>
          <w:szCs w:val="20"/>
        </w:rPr>
        <w:t xml:space="preserve">(Marchtrenk, </w:t>
      </w:r>
      <w:r w:rsidR="00310569">
        <w:rPr>
          <w:b/>
          <w:szCs w:val="20"/>
        </w:rPr>
        <w:t>26</w:t>
      </w:r>
      <w:r w:rsidRPr="000F5045">
        <w:rPr>
          <w:b/>
          <w:szCs w:val="20"/>
        </w:rPr>
        <w:t xml:space="preserve">. </w:t>
      </w:r>
      <w:r w:rsidR="00957E21">
        <w:rPr>
          <w:b/>
          <w:szCs w:val="20"/>
        </w:rPr>
        <w:t>Oktober</w:t>
      </w:r>
      <w:r w:rsidRPr="000F5045">
        <w:rPr>
          <w:b/>
          <w:szCs w:val="20"/>
        </w:rPr>
        <w:t xml:space="preserve"> 2023)</w:t>
      </w:r>
      <w:r w:rsidR="00C73511" w:rsidRPr="000F5045">
        <w:rPr>
          <w:b/>
          <w:szCs w:val="20"/>
        </w:rPr>
        <w:t xml:space="preserve"> </w:t>
      </w:r>
      <w:r w:rsidR="00957E21">
        <w:rPr>
          <w:b/>
          <w:szCs w:val="20"/>
        </w:rPr>
        <w:t>Ende</w:t>
      </w:r>
      <w:r w:rsidR="00E85746" w:rsidRPr="00AE1C55">
        <w:rPr>
          <w:b/>
          <w:szCs w:val="20"/>
        </w:rPr>
        <w:t xml:space="preserve"> </w:t>
      </w:r>
      <w:r w:rsidR="00E85746">
        <w:rPr>
          <w:b/>
          <w:szCs w:val="20"/>
        </w:rPr>
        <w:t>Oktober</w:t>
      </w:r>
      <w:r w:rsidR="00E85746" w:rsidRPr="00AE1C55">
        <w:rPr>
          <w:b/>
          <w:szCs w:val="20"/>
        </w:rPr>
        <w:t xml:space="preserve"> feiert </w:t>
      </w:r>
      <w:r w:rsidR="00957E21">
        <w:rPr>
          <w:b/>
          <w:szCs w:val="20"/>
        </w:rPr>
        <w:t xml:space="preserve">TGW Spanien </w:t>
      </w:r>
      <w:r w:rsidR="00AE1C55" w:rsidRPr="00AE1C55">
        <w:rPr>
          <w:b/>
          <w:szCs w:val="20"/>
        </w:rPr>
        <w:t>20. Geburtstag. Bereits wenige Monate nach d</w:t>
      </w:r>
      <w:r w:rsidR="009610D3">
        <w:rPr>
          <w:b/>
          <w:szCs w:val="20"/>
        </w:rPr>
        <w:t>er Gründung im Jahr 2003 konnte</w:t>
      </w:r>
      <w:r w:rsidR="00AE1C55" w:rsidRPr="00AE1C55">
        <w:rPr>
          <w:b/>
          <w:szCs w:val="20"/>
        </w:rPr>
        <w:t xml:space="preserve"> </w:t>
      </w:r>
      <w:r w:rsidR="00957E21">
        <w:rPr>
          <w:b/>
          <w:szCs w:val="20"/>
        </w:rPr>
        <w:t xml:space="preserve">die Niederlassung </w:t>
      </w:r>
      <w:r w:rsidR="00AE1C55" w:rsidRPr="00AE1C55">
        <w:rPr>
          <w:b/>
          <w:szCs w:val="20"/>
        </w:rPr>
        <w:t xml:space="preserve">den ersten Auftrag </w:t>
      </w:r>
      <w:r w:rsidR="00E85746">
        <w:rPr>
          <w:b/>
          <w:szCs w:val="20"/>
        </w:rPr>
        <w:t xml:space="preserve">abschließen – mit </w:t>
      </w:r>
      <w:r w:rsidR="00AE1C55">
        <w:rPr>
          <w:b/>
          <w:szCs w:val="20"/>
        </w:rPr>
        <w:t>einem der</w:t>
      </w:r>
      <w:r w:rsidR="00AE1C55" w:rsidRPr="00AE1C55">
        <w:rPr>
          <w:b/>
          <w:szCs w:val="20"/>
        </w:rPr>
        <w:t xml:space="preserve"> führenden Lebensmittelhändler </w:t>
      </w:r>
      <w:r w:rsidR="00AE1C55">
        <w:rPr>
          <w:b/>
          <w:szCs w:val="20"/>
        </w:rPr>
        <w:t xml:space="preserve">des Landes. </w:t>
      </w:r>
      <w:r w:rsidR="00957E21">
        <w:rPr>
          <w:b/>
          <w:szCs w:val="20"/>
        </w:rPr>
        <w:t>E</w:t>
      </w:r>
      <w:r w:rsidR="005B026E" w:rsidRPr="005B026E">
        <w:rPr>
          <w:b/>
          <w:szCs w:val="20"/>
        </w:rPr>
        <w:t>rfolgreich</w:t>
      </w:r>
      <w:r w:rsidR="00957E21">
        <w:rPr>
          <w:b/>
          <w:szCs w:val="20"/>
        </w:rPr>
        <w:t xml:space="preserve">e Projekte, </w:t>
      </w:r>
      <w:r w:rsidR="005B026E" w:rsidRPr="005B026E">
        <w:rPr>
          <w:b/>
          <w:szCs w:val="20"/>
        </w:rPr>
        <w:t xml:space="preserve">zufriedene Kunden </w:t>
      </w:r>
      <w:r w:rsidR="00957E21">
        <w:rPr>
          <w:b/>
          <w:szCs w:val="20"/>
        </w:rPr>
        <w:t xml:space="preserve">und eine nachhaltige Entwicklung </w:t>
      </w:r>
      <w:r w:rsidR="005B026E" w:rsidRPr="005B026E">
        <w:rPr>
          <w:b/>
          <w:szCs w:val="20"/>
        </w:rPr>
        <w:t xml:space="preserve">machen TGW </w:t>
      </w:r>
      <w:r w:rsidR="00536334">
        <w:rPr>
          <w:b/>
          <w:szCs w:val="20"/>
        </w:rPr>
        <w:t>I</w:t>
      </w:r>
      <w:r w:rsidR="00536334" w:rsidRPr="00536334">
        <w:rPr>
          <w:b/>
          <w:szCs w:val="20"/>
        </w:rPr>
        <w:t>bérica Sistemas Logísticos</w:t>
      </w:r>
      <w:r w:rsidR="00536334">
        <w:rPr>
          <w:b/>
          <w:szCs w:val="20"/>
        </w:rPr>
        <w:t xml:space="preserve"> </w:t>
      </w:r>
      <w:r w:rsidR="005B026E" w:rsidRPr="005B026E">
        <w:rPr>
          <w:b/>
          <w:szCs w:val="20"/>
        </w:rPr>
        <w:t xml:space="preserve">heute zu einem starken Partner in der Planung und Realisierung von </w:t>
      </w:r>
      <w:r w:rsidR="003E2B0E">
        <w:rPr>
          <w:b/>
          <w:szCs w:val="20"/>
        </w:rPr>
        <w:t>hochautomatisierten</w:t>
      </w:r>
      <w:r w:rsidR="005A1D04">
        <w:rPr>
          <w:b/>
          <w:szCs w:val="20"/>
        </w:rPr>
        <w:t xml:space="preserve"> </w:t>
      </w:r>
      <w:r w:rsidR="005B026E" w:rsidRPr="005B026E">
        <w:rPr>
          <w:b/>
          <w:szCs w:val="20"/>
        </w:rPr>
        <w:t>Logistikzentren</w:t>
      </w:r>
      <w:r w:rsidR="009C4E83">
        <w:rPr>
          <w:b/>
          <w:szCs w:val="20"/>
        </w:rPr>
        <w:t>.</w:t>
      </w:r>
    </w:p>
    <w:p w14:paraId="74E1EF7D" w14:textId="2831B919" w:rsidR="007F57C6" w:rsidRDefault="007F57C6" w:rsidP="00AE1C55">
      <w:pPr>
        <w:spacing w:line="360" w:lineRule="auto"/>
        <w:ind w:left="0" w:right="1693"/>
        <w:rPr>
          <w:b/>
          <w:szCs w:val="20"/>
        </w:rPr>
      </w:pPr>
    </w:p>
    <w:p w14:paraId="584160C8" w14:textId="18E486B1" w:rsidR="009063A2" w:rsidRDefault="00047CA5" w:rsidP="007F57C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Am 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>wichtigen</w:t>
      </w:r>
      <w:r w:rsidR="00490B2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spanischen</w:t>
      </w:r>
      <w:r w:rsidR="007F57C6"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>Markt mit eine</w:t>
      </w:r>
      <w:r w:rsidR="00B063EE">
        <w:rPr>
          <w:rFonts w:ascii="Arial" w:eastAsiaTheme="minorHAnsi" w:hAnsi="Arial" w:cs="Arial"/>
          <w:sz w:val="20"/>
          <w:szCs w:val="20"/>
          <w:lang w:val="de-DE" w:eastAsia="en-US"/>
        </w:rPr>
        <w:t>m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eigene</w:t>
      </w:r>
      <w:r w:rsidR="00B063EE">
        <w:rPr>
          <w:rFonts w:ascii="Arial" w:eastAsiaTheme="minorHAnsi" w:hAnsi="Arial" w:cs="Arial"/>
          <w:sz w:val="20"/>
          <w:szCs w:val="20"/>
          <w:lang w:val="de-DE" w:eastAsia="en-US"/>
        </w:rPr>
        <w:t>n Standort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vertreten zu sein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– und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14225">
        <w:rPr>
          <w:rFonts w:ascii="Arial" w:eastAsiaTheme="minorHAnsi" w:hAnsi="Arial" w:cs="Arial"/>
          <w:sz w:val="20"/>
          <w:szCs w:val="20"/>
          <w:lang w:val="de-DE" w:eastAsia="en-US"/>
        </w:rPr>
        <w:t>damit nahe an den Kunden agieren</w:t>
      </w:r>
      <w:r w:rsidR="007F57C6"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zu 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>können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–,</w:t>
      </w:r>
      <w:r w:rsidR="007F57C6"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7F57C6">
        <w:rPr>
          <w:rFonts w:ascii="Arial" w:eastAsiaTheme="minorHAnsi" w:hAnsi="Arial" w:cs="Arial"/>
          <w:sz w:val="20"/>
          <w:szCs w:val="20"/>
          <w:lang w:val="de-DE" w:eastAsia="en-US"/>
        </w:rPr>
        <w:t>war</w:t>
      </w:r>
      <w:r w:rsidR="007F57C6"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bei der Gründung </w:t>
      </w:r>
      <w:r w:rsidR="007F57C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von </w:t>
      </w:r>
      <w:r w:rsidR="00E14225">
        <w:rPr>
          <w:rFonts w:ascii="Arial" w:eastAsiaTheme="minorHAnsi" w:hAnsi="Arial" w:cs="Arial"/>
          <w:sz w:val="20"/>
          <w:szCs w:val="20"/>
          <w:lang w:val="de-DE" w:eastAsia="en-US"/>
        </w:rPr>
        <w:t>zentraler</w:t>
      </w:r>
      <w:r w:rsidR="007F57C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Bedeutung</w:t>
      </w:r>
      <w:r w:rsidR="007F57C6" w:rsidRPr="00666B41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B352D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Aktuell arbeiten mehr als 150 Spezialisten</w:t>
      </w:r>
      <w:r w:rsidR="009063A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in unterschiedlichen Bereichen</w:t>
      </w:r>
      <w:r w:rsidR="007F57C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02170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für </w:t>
      </w:r>
      <w:r w:rsidR="0002170F" w:rsidRPr="0002170F">
        <w:rPr>
          <w:rFonts w:ascii="Arial" w:eastAsiaTheme="minorHAnsi" w:hAnsi="Arial" w:cs="Arial"/>
          <w:sz w:val="20"/>
          <w:szCs w:val="20"/>
          <w:lang w:val="de-DE" w:eastAsia="en-US"/>
        </w:rPr>
        <w:t>TGW Ibérica Sistemas Logísticos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14:paraId="5F2306DD" w14:textId="01A609CF" w:rsidR="00E41B7A" w:rsidRDefault="00E41B7A" w:rsidP="007F57C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9D2F189" w14:textId="4C831573" w:rsidR="00E41B7A" w:rsidRPr="00E41B7A" w:rsidRDefault="00E41B7A" w:rsidP="007F57C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 w:rsidRPr="00E41B7A">
        <w:rPr>
          <w:rFonts w:ascii="Arial" w:eastAsiaTheme="minorHAnsi" w:hAnsi="Arial" w:cs="Arial"/>
          <w:b/>
          <w:sz w:val="20"/>
          <w:szCs w:val="20"/>
          <w:lang w:val="de-DE" w:eastAsia="en-US"/>
        </w:rPr>
        <w:t>Markt mit großem Potenzial</w:t>
      </w:r>
    </w:p>
    <w:p w14:paraId="662C78BE" w14:textId="77777777" w:rsidR="009063A2" w:rsidRDefault="009063A2" w:rsidP="007F57C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731BC67" w14:textId="1025659A" w:rsidR="009610D3" w:rsidRDefault="007F57C6" w:rsidP="007F57C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„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Spanien </w:t>
      </w:r>
      <w:r w:rsidR="00B67A1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zählt zu den 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größten Volkswirtschaften der </w:t>
      </w:r>
      <w:r w:rsidR="00B67A1A">
        <w:rPr>
          <w:rFonts w:ascii="Arial" w:eastAsiaTheme="minorHAnsi" w:hAnsi="Arial" w:cs="Arial"/>
          <w:sz w:val="20"/>
          <w:szCs w:val="20"/>
          <w:lang w:val="de-DE" w:eastAsia="en-US"/>
        </w:rPr>
        <w:t>Welt</w:t>
      </w:r>
      <w:r w:rsidR="009C4E8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Die Nachfrage nach teil- bzw. vollautomatisierten </w:t>
      </w:r>
      <w:r w:rsidR="00897910">
        <w:rPr>
          <w:rFonts w:ascii="Arial" w:eastAsiaTheme="minorHAnsi" w:hAnsi="Arial" w:cs="Arial"/>
          <w:sz w:val="20"/>
          <w:szCs w:val="20"/>
          <w:lang w:val="de-DE" w:eastAsia="en-US"/>
        </w:rPr>
        <w:t>Intralogistik-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Lösungen </w:t>
      </w:r>
      <w:r w:rsidR="0089791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ist </w:t>
      </w:r>
      <w:r w:rsidR="005A1D0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dementsprechend </w:t>
      </w:r>
      <w:r w:rsidR="00897910">
        <w:rPr>
          <w:rFonts w:ascii="Arial" w:eastAsiaTheme="minorHAnsi" w:hAnsi="Arial" w:cs="Arial"/>
          <w:sz w:val="20"/>
          <w:szCs w:val="20"/>
          <w:lang w:val="de-DE" w:eastAsia="en-US"/>
        </w:rPr>
        <w:t>hoch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das Potenzial 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>groß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“, betont </w:t>
      </w:r>
      <w:r w:rsidR="00596F0D">
        <w:rPr>
          <w:rFonts w:ascii="Arial" w:eastAsiaTheme="minorHAnsi" w:hAnsi="Arial" w:cs="Arial"/>
          <w:sz w:val="20"/>
          <w:szCs w:val="20"/>
          <w:lang w:val="de-DE" w:eastAsia="en-US"/>
        </w:rPr>
        <w:t>Albert Vidal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</w:t>
      </w:r>
      <w:r w:rsidR="005B026E">
        <w:rPr>
          <w:rFonts w:ascii="Arial" w:eastAsiaTheme="minorHAnsi" w:hAnsi="Arial" w:cs="Arial"/>
          <w:sz w:val="20"/>
          <w:szCs w:val="20"/>
          <w:lang w:val="de-DE" w:eastAsia="en-US"/>
        </w:rPr>
        <w:t>Chief Executive Officer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TGW </w:t>
      </w:r>
      <w:r w:rsidR="00B7355C">
        <w:rPr>
          <w:rFonts w:ascii="Arial" w:eastAsiaTheme="minorHAnsi" w:hAnsi="Arial" w:cs="Arial"/>
          <w:sz w:val="20"/>
          <w:szCs w:val="20"/>
          <w:lang w:val="de-DE" w:eastAsia="en-US"/>
        </w:rPr>
        <w:t>South Europe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. „Unsere Spezia</w:t>
      </w:r>
      <w:r w:rsidR="0089791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listen planen </w:t>
      </w:r>
      <w:r w:rsidR="00733A5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zukunftssichere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Systeme für den lokalen Markt</w:t>
      </w:r>
      <w:r w:rsidR="00B352D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übernehmen die Realisierung und 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>stellen außerdem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im Rahmen von Lifetime Services 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>sicher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dass die Anlagen </w:t>
      </w:r>
      <w:r w:rsidR="005B026E">
        <w:rPr>
          <w:rFonts w:ascii="Arial" w:eastAsiaTheme="minorHAnsi" w:hAnsi="Arial" w:cs="Arial"/>
          <w:sz w:val="20"/>
          <w:szCs w:val="20"/>
          <w:lang w:val="de-DE" w:eastAsia="en-US"/>
        </w:rPr>
        <w:t>zuverlässig</w:t>
      </w:r>
      <w:r w:rsidR="00733A5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mit optimaler Performance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laufen. Die enge </w:t>
      </w:r>
      <w:r w:rsidR="00FB1C13">
        <w:rPr>
          <w:rFonts w:ascii="Arial" w:eastAsiaTheme="minorHAnsi" w:hAnsi="Arial" w:cs="Arial"/>
          <w:sz w:val="20"/>
          <w:szCs w:val="20"/>
          <w:lang w:val="de-DE" w:eastAsia="en-US"/>
        </w:rPr>
        <w:t>Zusammenarbeit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mit unserem Headquarter 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>in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Österreich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sowie mit </w:t>
      </w:r>
      <w:r w:rsidR="00FB1C13">
        <w:rPr>
          <w:rFonts w:ascii="Arial" w:eastAsiaTheme="minorHAnsi" w:hAnsi="Arial" w:cs="Arial"/>
          <w:sz w:val="20"/>
          <w:szCs w:val="20"/>
          <w:lang w:val="de-DE" w:eastAsia="en-US"/>
        </w:rPr>
        <w:t>den</w:t>
      </w:r>
      <w:r w:rsidR="00E1422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europäischen </w:t>
      </w:r>
      <w:r w:rsidR="00FB1C13">
        <w:rPr>
          <w:rFonts w:ascii="Arial" w:eastAsiaTheme="minorHAnsi" w:hAnsi="Arial" w:cs="Arial"/>
          <w:sz w:val="20"/>
          <w:szCs w:val="20"/>
          <w:lang w:val="de-DE" w:eastAsia="en-US"/>
        </w:rPr>
        <w:t>TGW-</w:t>
      </w:r>
      <w:r w:rsidR="00593EAB">
        <w:rPr>
          <w:rFonts w:ascii="Arial" w:eastAsiaTheme="minorHAnsi" w:hAnsi="Arial" w:cs="Arial"/>
          <w:sz w:val="20"/>
          <w:szCs w:val="20"/>
          <w:lang w:val="de-DE" w:eastAsia="en-US"/>
        </w:rPr>
        <w:t>Units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spielt eine </w:t>
      </w:r>
      <w:r w:rsidR="00FB1C13">
        <w:rPr>
          <w:rFonts w:ascii="Arial" w:eastAsiaTheme="minorHAnsi" w:hAnsi="Arial" w:cs="Arial"/>
          <w:sz w:val="20"/>
          <w:szCs w:val="20"/>
          <w:lang w:val="de-DE" w:eastAsia="en-US"/>
        </w:rPr>
        <w:t>wichtige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Rolle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für </w:t>
      </w:r>
      <w:r w:rsidR="00593EAB">
        <w:rPr>
          <w:rFonts w:ascii="Arial" w:eastAsiaTheme="minorHAnsi" w:hAnsi="Arial" w:cs="Arial"/>
          <w:sz w:val="20"/>
          <w:szCs w:val="20"/>
          <w:lang w:val="de-DE" w:eastAsia="en-US"/>
        </w:rPr>
        <w:t>die</w:t>
      </w:r>
      <w:r w:rsidR="00E41B7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erfolgreiche Entwicklung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.“</w:t>
      </w:r>
    </w:p>
    <w:p w14:paraId="583CBCA1" w14:textId="77777777" w:rsidR="00B7355C" w:rsidRDefault="00B7355C" w:rsidP="007F57C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1F0B0C3" w14:textId="22D15383" w:rsidR="00AE1C55" w:rsidRDefault="00B352DE" w:rsidP="00AE1C55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Renommierte </w:t>
      </w:r>
      <w:r w:rsidRPr="006B561A">
        <w:rPr>
          <w:rFonts w:cs="Arial"/>
          <w:b/>
          <w:szCs w:val="20"/>
        </w:rPr>
        <w:t>Kunden</w:t>
      </w:r>
    </w:p>
    <w:p w14:paraId="537D94DE" w14:textId="77777777" w:rsidR="00B352DE" w:rsidRPr="00AE1C55" w:rsidRDefault="00B352DE" w:rsidP="00AE1C55">
      <w:pPr>
        <w:spacing w:line="360" w:lineRule="auto"/>
        <w:ind w:left="0" w:right="1693"/>
        <w:rPr>
          <w:b/>
          <w:szCs w:val="20"/>
        </w:rPr>
      </w:pPr>
    </w:p>
    <w:p w14:paraId="590E6A2E" w14:textId="0A8526B9" w:rsidR="006E5F1B" w:rsidRDefault="0002170F" w:rsidP="00AE1C55">
      <w:pPr>
        <w:spacing w:line="360" w:lineRule="auto"/>
        <w:ind w:left="0" w:right="1693"/>
        <w:rPr>
          <w:szCs w:val="20"/>
        </w:rPr>
      </w:pPr>
      <w:r>
        <w:rPr>
          <w:rFonts w:cs="Arial"/>
          <w:szCs w:val="20"/>
        </w:rPr>
        <w:t>Auf die Kompetenz und die Erfahrung</w:t>
      </w:r>
      <w:r w:rsidRPr="0054599E">
        <w:rPr>
          <w:rFonts w:cs="Arial"/>
          <w:szCs w:val="20"/>
        </w:rPr>
        <w:t xml:space="preserve"> </w:t>
      </w:r>
      <w:r w:rsidR="00FB1C13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</w:t>
      </w:r>
      <w:r w:rsidR="009063A2">
        <w:rPr>
          <w:rFonts w:cs="Arial"/>
          <w:szCs w:val="20"/>
        </w:rPr>
        <w:t>spanischen</w:t>
      </w:r>
      <w:r>
        <w:rPr>
          <w:rFonts w:cs="Arial"/>
          <w:szCs w:val="20"/>
        </w:rPr>
        <w:t xml:space="preserve"> </w:t>
      </w:r>
      <w:r w:rsidR="00FB1C13">
        <w:rPr>
          <w:rFonts w:cs="Arial"/>
          <w:szCs w:val="20"/>
        </w:rPr>
        <w:t>Niederlassung</w:t>
      </w:r>
      <w:r>
        <w:rPr>
          <w:rFonts w:cs="Arial"/>
          <w:szCs w:val="20"/>
        </w:rPr>
        <w:t xml:space="preserve"> </w:t>
      </w:r>
      <w:r w:rsidRPr="0054599E">
        <w:rPr>
          <w:rFonts w:cs="Arial"/>
          <w:szCs w:val="20"/>
        </w:rPr>
        <w:t xml:space="preserve">setzt eine </w:t>
      </w:r>
      <w:r w:rsidR="00E14225">
        <w:rPr>
          <w:rFonts w:cs="Arial"/>
          <w:szCs w:val="20"/>
        </w:rPr>
        <w:t>kontinuierlich</w:t>
      </w:r>
      <w:r w:rsidR="0035055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wachsende</w:t>
      </w:r>
      <w:r w:rsidRPr="0054599E">
        <w:rPr>
          <w:rFonts w:cs="Arial"/>
          <w:szCs w:val="20"/>
        </w:rPr>
        <w:t xml:space="preserve"> Zahl </w:t>
      </w:r>
      <w:r>
        <w:rPr>
          <w:rFonts w:cs="Arial"/>
          <w:szCs w:val="20"/>
        </w:rPr>
        <w:t>von Unternehmen.</w:t>
      </w:r>
      <w:r w:rsidRPr="0054599E">
        <w:rPr>
          <w:rFonts w:cs="Arial"/>
          <w:szCs w:val="20"/>
        </w:rPr>
        <w:t xml:space="preserve"> </w:t>
      </w:r>
      <w:r w:rsidR="00AE1C55" w:rsidRPr="00AE1C55">
        <w:rPr>
          <w:szCs w:val="20"/>
        </w:rPr>
        <w:t xml:space="preserve">Zu den Kunden zählen international tätige Big Player ebenso wie mittelständische Unternehmen – darunter beispielsweise </w:t>
      </w:r>
      <w:r>
        <w:rPr>
          <w:szCs w:val="20"/>
        </w:rPr>
        <w:t>Fashion-Riese</w:t>
      </w:r>
      <w:r w:rsidR="00AE1C55" w:rsidRPr="00AE1C55">
        <w:rPr>
          <w:szCs w:val="20"/>
        </w:rPr>
        <w:t xml:space="preserve"> </w:t>
      </w:r>
      <w:r w:rsidR="00096944">
        <w:rPr>
          <w:szCs w:val="20"/>
        </w:rPr>
        <w:t xml:space="preserve">Mango, </w:t>
      </w:r>
      <w:r>
        <w:rPr>
          <w:szCs w:val="20"/>
        </w:rPr>
        <w:t xml:space="preserve">der Kindermode-Produzent </w:t>
      </w:r>
      <w:r w:rsidR="00096944">
        <w:rPr>
          <w:szCs w:val="20"/>
        </w:rPr>
        <w:t>Mayoral</w:t>
      </w:r>
      <w:r w:rsidR="00AE1C55" w:rsidRPr="00AE1C55">
        <w:rPr>
          <w:szCs w:val="20"/>
        </w:rPr>
        <w:t xml:space="preserve"> oder </w:t>
      </w:r>
      <w:r w:rsidR="007F57C6">
        <w:rPr>
          <w:szCs w:val="20"/>
        </w:rPr>
        <w:t>die</w:t>
      </w:r>
      <w:r w:rsidR="00AE1C55" w:rsidRPr="00AE1C55">
        <w:rPr>
          <w:szCs w:val="20"/>
        </w:rPr>
        <w:t xml:space="preserve"> Grocery-Retailer </w:t>
      </w:r>
      <w:r w:rsidR="007F57C6">
        <w:rPr>
          <w:szCs w:val="20"/>
        </w:rPr>
        <w:t xml:space="preserve">Ahorramas </w:t>
      </w:r>
      <w:r w:rsidR="00FB1C13">
        <w:rPr>
          <w:szCs w:val="20"/>
        </w:rPr>
        <w:t>sowie</w:t>
      </w:r>
      <w:r w:rsidR="007F57C6">
        <w:rPr>
          <w:szCs w:val="20"/>
        </w:rPr>
        <w:t xml:space="preserve"> </w:t>
      </w:r>
      <w:r w:rsidR="00AE1C55" w:rsidRPr="00AE1C55">
        <w:rPr>
          <w:szCs w:val="20"/>
        </w:rPr>
        <w:t>HiperDino.</w:t>
      </w:r>
      <w:r w:rsidR="0035055D">
        <w:rPr>
          <w:szCs w:val="20"/>
        </w:rPr>
        <w:t xml:space="preserve"> </w:t>
      </w:r>
      <w:r w:rsidR="006E5F1B">
        <w:rPr>
          <w:rFonts w:cs="Arial"/>
          <w:szCs w:val="20"/>
        </w:rPr>
        <w:t>Der</w:t>
      </w:r>
      <w:r w:rsidR="006E5F1B" w:rsidRPr="00F433E2">
        <w:rPr>
          <w:rFonts w:cs="Arial"/>
          <w:szCs w:val="20"/>
        </w:rPr>
        <w:t xml:space="preserve"> Fokus</w:t>
      </w:r>
      <w:r w:rsidR="006E5F1B">
        <w:rPr>
          <w:rFonts w:cs="Arial"/>
          <w:szCs w:val="20"/>
        </w:rPr>
        <w:t xml:space="preserve"> liegt </w:t>
      </w:r>
      <w:r w:rsidR="006E5F1B" w:rsidRPr="00F433E2">
        <w:rPr>
          <w:rFonts w:cs="Arial"/>
          <w:szCs w:val="20"/>
        </w:rPr>
        <w:t xml:space="preserve">auf den </w:t>
      </w:r>
      <w:r w:rsidR="006E5F1B">
        <w:rPr>
          <w:rFonts w:cs="Arial"/>
          <w:szCs w:val="20"/>
        </w:rPr>
        <w:t>Branchen</w:t>
      </w:r>
      <w:r w:rsidR="006E5F1B" w:rsidRPr="00F433E2">
        <w:rPr>
          <w:rFonts w:cs="Arial"/>
          <w:szCs w:val="20"/>
        </w:rPr>
        <w:t xml:space="preserve"> </w:t>
      </w:r>
      <w:r w:rsidR="006E5F1B">
        <w:rPr>
          <w:rFonts w:cs="Arial"/>
          <w:szCs w:val="20"/>
        </w:rPr>
        <w:t>Textil</w:t>
      </w:r>
      <w:r w:rsidR="006E5F1B" w:rsidRPr="00F433E2">
        <w:rPr>
          <w:rFonts w:cs="Arial"/>
          <w:szCs w:val="20"/>
        </w:rPr>
        <w:t xml:space="preserve">, Lebensmittel </w:t>
      </w:r>
      <w:r w:rsidR="00FB1C13">
        <w:rPr>
          <w:rFonts w:cs="Arial"/>
          <w:szCs w:val="20"/>
        </w:rPr>
        <w:t>und</w:t>
      </w:r>
      <w:r w:rsidR="006E5F1B">
        <w:rPr>
          <w:rFonts w:cs="Arial"/>
          <w:szCs w:val="20"/>
        </w:rPr>
        <w:t xml:space="preserve"> Industrie- und Konsumgüter</w:t>
      </w:r>
      <w:r w:rsidR="006E5F1B" w:rsidRPr="00F433E2">
        <w:rPr>
          <w:rFonts w:cs="Arial"/>
          <w:szCs w:val="20"/>
        </w:rPr>
        <w:t>.</w:t>
      </w:r>
    </w:p>
    <w:p w14:paraId="42E04023" w14:textId="77777777" w:rsidR="007F57C6" w:rsidRPr="00AE1C55" w:rsidRDefault="007F57C6" w:rsidP="00AE1C55">
      <w:pPr>
        <w:spacing w:line="360" w:lineRule="auto"/>
        <w:ind w:left="0" w:right="1693"/>
        <w:rPr>
          <w:szCs w:val="20"/>
        </w:rPr>
      </w:pPr>
    </w:p>
    <w:p w14:paraId="0647E0F5" w14:textId="1B85BB7A" w:rsidR="00EB38B0" w:rsidRPr="0038131F" w:rsidRDefault="00E80DA4" w:rsidP="004E238B">
      <w:pPr>
        <w:spacing w:line="360" w:lineRule="auto"/>
        <w:ind w:left="0" w:right="1695"/>
        <w:rPr>
          <w:szCs w:val="20"/>
          <w:lang w:val="en-US"/>
        </w:rPr>
      </w:pPr>
      <w:hyperlink r:id="rId11" w:history="1">
        <w:r w:rsidR="00EB38B0" w:rsidRPr="0038131F">
          <w:rPr>
            <w:rStyle w:val="Hyperlink"/>
            <w:szCs w:val="20"/>
            <w:lang w:val="en-US"/>
          </w:rPr>
          <w:t>www.tgw-group.com</w:t>
        </w:r>
      </w:hyperlink>
    </w:p>
    <w:p w14:paraId="7CED9920" w14:textId="77777777" w:rsidR="00EB38B0" w:rsidRPr="0038131F" w:rsidRDefault="00EB38B0" w:rsidP="004E238B">
      <w:pPr>
        <w:spacing w:line="360" w:lineRule="auto"/>
        <w:ind w:left="0" w:right="1695"/>
        <w:rPr>
          <w:szCs w:val="20"/>
          <w:lang w:val="en-US"/>
        </w:rPr>
      </w:pPr>
    </w:p>
    <w:p w14:paraId="709AA859" w14:textId="035234F5" w:rsidR="008C1E1E" w:rsidRPr="0038131F" w:rsidRDefault="008C1E1E" w:rsidP="00BC7952">
      <w:pPr>
        <w:spacing w:line="240" w:lineRule="auto"/>
        <w:ind w:left="0" w:right="1693"/>
        <w:rPr>
          <w:szCs w:val="20"/>
          <w:lang w:val="en-US"/>
        </w:rPr>
      </w:pPr>
    </w:p>
    <w:p w14:paraId="03C640D9" w14:textId="4FCF55E0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01E45FE" w14:textId="3B0417BA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270F20D9" w14:textId="6DC877BB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EA63D04" w14:textId="5AE702FA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B6A216F" w14:textId="5BAF94E5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9EFF459" w14:textId="16823340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1BF4DE9E" w14:textId="10BEB9F2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FF041F7" w14:textId="421DE50B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0FE8A287" w14:textId="63AFBE4D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8247BDE" w14:textId="756B6723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4608E0B" w14:textId="2F66C8F7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15386EF2" w14:textId="727329D1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47183C39" w14:textId="06D39020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7D4CCE46" w14:textId="12E06096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44E6135D" w14:textId="45C7D4F2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1E412CD8" w14:textId="7B545F89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EE208DF" w14:textId="2C28DFC0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371C8DD6" w14:textId="41B80870" w:rsidR="00F505F9" w:rsidRPr="0038131F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4C2879E4" w14:textId="234497AF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197BEB56" w14:textId="550ABEE2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1849D240" w14:textId="11CB3B01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3CA3604B" w14:textId="11180B0B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626C691B" w14:textId="07455B54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0ACD5D7E" w14:textId="200E1534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57502822" w14:textId="3F9A043B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12A12D38" w14:textId="2F544C04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4FF511EA" w14:textId="46D8E7FC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0A487EA6" w14:textId="55F037CB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7B99465A" w14:textId="0BDC8168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255D1B18" w14:textId="5BBACA90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27F9EBE0" w14:textId="511FCBC4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4BD90694" w14:textId="768BF282" w:rsidR="0035055D" w:rsidRPr="0038131F" w:rsidRDefault="0035055D" w:rsidP="00BC7952">
      <w:pPr>
        <w:spacing w:line="240" w:lineRule="auto"/>
        <w:ind w:left="0" w:right="1693"/>
        <w:rPr>
          <w:szCs w:val="20"/>
          <w:lang w:val="en-US"/>
        </w:rPr>
      </w:pPr>
    </w:p>
    <w:p w14:paraId="71E352EB" w14:textId="1341E714" w:rsidR="0035055D" w:rsidRPr="0038131F" w:rsidRDefault="0035055D" w:rsidP="00BC7952">
      <w:pPr>
        <w:spacing w:line="240" w:lineRule="auto"/>
        <w:ind w:left="0" w:right="1693"/>
        <w:rPr>
          <w:szCs w:val="20"/>
          <w:lang w:val="en-US"/>
        </w:rPr>
      </w:pPr>
    </w:p>
    <w:p w14:paraId="624AABD3" w14:textId="77777777" w:rsidR="0035055D" w:rsidRPr="0038131F" w:rsidRDefault="0035055D" w:rsidP="00BC7952">
      <w:pPr>
        <w:spacing w:line="240" w:lineRule="auto"/>
        <w:ind w:left="0" w:right="1693"/>
        <w:rPr>
          <w:szCs w:val="20"/>
          <w:lang w:val="en-US"/>
        </w:rPr>
      </w:pPr>
    </w:p>
    <w:p w14:paraId="4B7956C1" w14:textId="32C6126B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73BD64B1" w14:textId="4761A775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08621271" w14:textId="62B3C1F8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252544AD" w14:textId="1E72EA76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39996F95" w14:textId="2DF6B345" w:rsidR="006E5F1B" w:rsidRPr="0038131F" w:rsidRDefault="006E5F1B" w:rsidP="00BC7952">
      <w:pPr>
        <w:spacing w:line="240" w:lineRule="auto"/>
        <w:ind w:left="0" w:right="1693"/>
        <w:rPr>
          <w:szCs w:val="20"/>
          <w:lang w:val="en-US"/>
        </w:rPr>
      </w:pPr>
    </w:p>
    <w:p w14:paraId="6C4821E0" w14:textId="77777777" w:rsidR="000B6C22" w:rsidRPr="0038131F" w:rsidRDefault="000B6C22" w:rsidP="00BC7952">
      <w:pPr>
        <w:spacing w:line="240" w:lineRule="auto"/>
        <w:ind w:left="0" w:right="1693"/>
        <w:rPr>
          <w:szCs w:val="20"/>
          <w:lang w:val="en-US"/>
        </w:rPr>
      </w:pPr>
    </w:p>
    <w:p w14:paraId="62BF05E4" w14:textId="3F3B4EA9" w:rsidR="00BC7952" w:rsidRPr="00E80DA4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E80DA4">
        <w:rPr>
          <w:rStyle w:val="Hyperlink"/>
          <w:b/>
          <w:color w:val="auto"/>
          <w:u w:val="none"/>
          <w:lang w:val="en-US"/>
        </w:rPr>
        <w:lastRenderedPageBreak/>
        <w:t>Über TGW Logistics:</w:t>
      </w:r>
    </w:p>
    <w:p w14:paraId="5551E6F9" w14:textId="422D2D74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TGW Logistics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536AC0D2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1A2DD1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</w:t>
      </w:r>
      <w:r w:rsidR="001A2DD1">
        <w:rPr>
          <w:rStyle w:val="Hyperlink"/>
          <w:color w:val="auto"/>
          <w:u w:val="none"/>
        </w:rPr>
        <w:t>rbeiter. Im Wirtschaftsjahr 202</w:t>
      </w:r>
      <w:r w:rsidR="000A50EF">
        <w:rPr>
          <w:rStyle w:val="Hyperlink"/>
          <w:color w:val="auto"/>
          <w:u w:val="none"/>
        </w:rPr>
        <w:t>2</w:t>
      </w:r>
      <w:r w:rsidRPr="00D1043D">
        <w:rPr>
          <w:rStyle w:val="Hyperlink"/>
          <w:color w:val="auto"/>
          <w:u w:val="none"/>
        </w:rPr>
        <w:t>/20</w:t>
      </w:r>
      <w:r w:rsidR="001A2DD1">
        <w:rPr>
          <w:rStyle w:val="Hyperlink"/>
          <w:color w:val="auto"/>
          <w:u w:val="none"/>
        </w:rPr>
        <w:t>2</w:t>
      </w:r>
      <w:r w:rsidR="000A50EF">
        <w:rPr>
          <w:rStyle w:val="Hyperlink"/>
          <w:color w:val="auto"/>
          <w:u w:val="none"/>
        </w:rPr>
        <w:t>3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0A50EF">
        <w:rPr>
          <w:rStyle w:val="Hyperlink"/>
          <w:color w:val="auto"/>
          <w:u w:val="none"/>
        </w:rPr>
        <w:t>955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B172E1" w14:textId="36B628FF" w:rsidR="00823B73" w:rsidRPr="006B06E5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D7570D3" w14:textId="2F10338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Pr="0038131F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38131F">
        <w:rPr>
          <w:rStyle w:val="Hyperlink"/>
          <w:color w:val="auto"/>
          <w:u w:val="none"/>
          <w:lang w:val="de-AT"/>
        </w:rPr>
        <w:t>Pressekontakt:</w:t>
      </w:r>
    </w:p>
    <w:p w14:paraId="54288C08" w14:textId="77777777" w:rsidR="00F92A0D" w:rsidRPr="0038131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38131F">
        <w:rPr>
          <w:rStyle w:val="Hyperlink"/>
          <w:color w:val="auto"/>
          <w:u w:val="none"/>
          <w:lang w:val="de-AT"/>
        </w:rPr>
        <w:t>Alexander Tahedl</w:t>
      </w:r>
    </w:p>
    <w:p w14:paraId="3290DE68" w14:textId="77777777" w:rsidR="00BC7952" w:rsidRPr="0038131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38131F">
        <w:rPr>
          <w:rStyle w:val="Hyperlink"/>
          <w:color w:val="auto"/>
          <w:u w:val="none"/>
          <w:lang w:val="fr-FR"/>
        </w:rPr>
        <w:t>Communications Specialist</w:t>
      </w:r>
    </w:p>
    <w:p w14:paraId="7AB10AE7" w14:textId="77777777" w:rsidR="00BC7952" w:rsidRPr="0038131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proofErr w:type="gramStart"/>
      <w:r w:rsidRPr="0038131F">
        <w:rPr>
          <w:rStyle w:val="Hyperlink"/>
          <w:color w:val="auto"/>
          <w:u w:val="none"/>
          <w:lang w:val="fr-FR"/>
        </w:rPr>
        <w:t>T:</w:t>
      </w:r>
      <w:proofErr w:type="gramEnd"/>
      <w:r w:rsidRPr="0038131F">
        <w:rPr>
          <w:rStyle w:val="Hyperlink"/>
          <w:color w:val="auto"/>
          <w:u w:val="none"/>
          <w:lang w:val="fr-FR"/>
        </w:rPr>
        <w:t xml:space="preserve"> +43.(0)50.486-2267</w:t>
      </w:r>
    </w:p>
    <w:p w14:paraId="74FC38ED" w14:textId="77777777" w:rsidR="00BC7952" w:rsidRPr="0038131F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proofErr w:type="gramStart"/>
      <w:r w:rsidRPr="0038131F">
        <w:rPr>
          <w:rStyle w:val="Hyperlink"/>
          <w:color w:val="auto"/>
          <w:u w:val="none"/>
          <w:lang w:val="fr-FR"/>
        </w:rPr>
        <w:t>M:</w:t>
      </w:r>
      <w:proofErr w:type="gramEnd"/>
      <w:r w:rsidRPr="0038131F">
        <w:rPr>
          <w:rStyle w:val="Hyperlink"/>
          <w:color w:val="auto"/>
          <w:u w:val="none"/>
          <w:lang w:val="fr-FR"/>
        </w:rPr>
        <w:t xml:space="preserve"> +43.(0)664.88459713</w:t>
      </w:r>
    </w:p>
    <w:p w14:paraId="5E1C6B24" w14:textId="71DAD474" w:rsidR="006231AE" w:rsidRPr="0038131F" w:rsidRDefault="00BC7952" w:rsidP="008E1505">
      <w:pPr>
        <w:spacing w:line="240" w:lineRule="auto"/>
        <w:ind w:left="0" w:right="1693"/>
        <w:rPr>
          <w:lang w:val="fr-FR"/>
        </w:rPr>
      </w:pPr>
      <w:r w:rsidRPr="0038131F">
        <w:rPr>
          <w:rStyle w:val="Hyperlink"/>
          <w:color w:val="auto"/>
          <w:u w:val="none"/>
          <w:lang w:val="fr-FR"/>
        </w:rPr>
        <w:t>alexander.tahedl@tgw-group.com</w:t>
      </w:r>
    </w:p>
    <w:sectPr w:rsidR="006231AE" w:rsidRPr="0038131F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E614" w14:textId="77777777" w:rsidR="00C35D09" w:rsidRDefault="00C35D09" w:rsidP="00764006">
      <w:pPr>
        <w:spacing w:line="240" w:lineRule="auto"/>
      </w:pPr>
      <w:r>
        <w:separator/>
      </w:r>
    </w:p>
  </w:endnote>
  <w:endnote w:type="continuationSeparator" w:id="0">
    <w:p w14:paraId="36A67C45" w14:textId="77777777" w:rsidR="00C35D09" w:rsidRDefault="00C35D0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4F25E3AB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596F0D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596F0D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BC00" w14:textId="77777777" w:rsidR="00C35D09" w:rsidRDefault="00C35D09" w:rsidP="00764006">
      <w:pPr>
        <w:spacing w:line="240" w:lineRule="auto"/>
      </w:pPr>
      <w:r>
        <w:separator/>
      </w:r>
    </w:p>
  </w:footnote>
  <w:footnote w:type="continuationSeparator" w:id="0">
    <w:p w14:paraId="7B5052A1" w14:textId="77777777" w:rsidR="00C35D09" w:rsidRDefault="00C35D0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81645">
    <w:abstractNumId w:val="15"/>
  </w:num>
  <w:num w:numId="2" w16cid:durableId="1670524028">
    <w:abstractNumId w:val="9"/>
  </w:num>
  <w:num w:numId="3" w16cid:durableId="623848363">
    <w:abstractNumId w:val="13"/>
  </w:num>
  <w:num w:numId="4" w16cid:durableId="1408260174">
    <w:abstractNumId w:val="18"/>
  </w:num>
  <w:num w:numId="5" w16cid:durableId="788547184">
    <w:abstractNumId w:val="20"/>
  </w:num>
  <w:num w:numId="6" w16cid:durableId="1894848689">
    <w:abstractNumId w:val="4"/>
  </w:num>
  <w:num w:numId="7" w16cid:durableId="1653171626">
    <w:abstractNumId w:val="1"/>
  </w:num>
  <w:num w:numId="8" w16cid:durableId="1935552658">
    <w:abstractNumId w:val="17"/>
  </w:num>
  <w:num w:numId="9" w16cid:durableId="282657118">
    <w:abstractNumId w:val="6"/>
  </w:num>
  <w:num w:numId="10" w16cid:durableId="1452362946">
    <w:abstractNumId w:val="22"/>
  </w:num>
  <w:num w:numId="11" w16cid:durableId="1009605361">
    <w:abstractNumId w:val="11"/>
  </w:num>
  <w:num w:numId="12" w16cid:durableId="804740936">
    <w:abstractNumId w:val="7"/>
  </w:num>
  <w:num w:numId="13" w16cid:durableId="1839297998">
    <w:abstractNumId w:val="5"/>
  </w:num>
  <w:num w:numId="14" w16cid:durableId="30153034">
    <w:abstractNumId w:val="16"/>
  </w:num>
  <w:num w:numId="15" w16cid:durableId="954601283">
    <w:abstractNumId w:val="2"/>
  </w:num>
  <w:num w:numId="16" w16cid:durableId="1679766727">
    <w:abstractNumId w:val="3"/>
  </w:num>
  <w:num w:numId="17" w16cid:durableId="834958957">
    <w:abstractNumId w:val="0"/>
  </w:num>
  <w:num w:numId="18" w16cid:durableId="846362168">
    <w:abstractNumId w:val="8"/>
  </w:num>
  <w:num w:numId="19" w16cid:durableId="1241672844">
    <w:abstractNumId w:val="10"/>
  </w:num>
  <w:num w:numId="20" w16cid:durableId="996149881">
    <w:abstractNumId w:val="19"/>
  </w:num>
  <w:num w:numId="21" w16cid:durableId="1893878808">
    <w:abstractNumId w:val="12"/>
  </w:num>
  <w:num w:numId="22" w16cid:durableId="1739477805">
    <w:abstractNumId w:val="23"/>
  </w:num>
  <w:num w:numId="23" w16cid:durableId="718358831">
    <w:abstractNumId w:val="21"/>
  </w:num>
  <w:num w:numId="24" w16cid:durableId="541333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6"/>
    <w:rsid w:val="000000D6"/>
    <w:rsid w:val="00001958"/>
    <w:rsid w:val="00002AC7"/>
    <w:rsid w:val="00007FC6"/>
    <w:rsid w:val="00010CA8"/>
    <w:rsid w:val="00010D99"/>
    <w:rsid w:val="00010E02"/>
    <w:rsid w:val="00011AC1"/>
    <w:rsid w:val="00011B1D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170F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30C83"/>
    <w:rsid w:val="00030FFB"/>
    <w:rsid w:val="00035359"/>
    <w:rsid w:val="0003607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9AD"/>
    <w:rsid w:val="00045C9C"/>
    <w:rsid w:val="00045F47"/>
    <w:rsid w:val="00047282"/>
    <w:rsid w:val="00047CA5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2E16"/>
    <w:rsid w:val="00064655"/>
    <w:rsid w:val="000649E1"/>
    <w:rsid w:val="00064F2D"/>
    <w:rsid w:val="00066244"/>
    <w:rsid w:val="000662F5"/>
    <w:rsid w:val="00066501"/>
    <w:rsid w:val="00066599"/>
    <w:rsid w:val="0006731A"/>
    <w:rsid w:val="00067ABB"/>
    <w:rsid w:val="00071B58"/>
    <w:rsid w:val="00073816"/>
    <w:rsid w:val="000738F7"/>
    <w:rsid w:val="0007431B"/>
    <w:rsid w:val="00074502"/>
    <w:rsid w:val="00074923"/>
    <w:rsid w:val="00076C37"/>
    <w:rsid w:val="000771FD"/>
    <w:rsid w:val="000809E8"/>
    <w:rsid w:val="00082003"/>
    <w:rsid w:val="0008361B"/>
    <w:rsid w:val="000851A7"/>
    <w:rsid w:val="00086319"/>
    <w:rsid w:val="00086DCB"/>
    <w:rsid w:val="00087166"/>
    <w:rsid w:val="0008730F"/>
    <w:rsid w:val="000905A4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6944"/>
    <w:rsid w:val="00097109"/>
    <w:rsid w:val="000A06D4"/>
    <w:rsid w:val="000A09BE"/>
    <w:rsid w:val="000A0D43"/>
    <w:rsid w:val="000A0FF3"/>
    <w:rsid w:val="000A1858"/>
    <w:rsid w:val="000A267E"/>
    <w:rsid w:val="000A3054"/>
    <w:rsid w:val="000A33C6"/>
    <w:rsid w:val="000A3DB4"/>
    <w:rsid w:val="000A50EF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4DE"/>
    <w:rsid w:val="000B5A93"/>
    <w:rsid w:val="000B5C66"/>
    <w:rsid w:val="000B6542"/>
    <w:rsid w:val="000B65C7"/>
    <w:rsid w:val="000B65E5"/>
    <w:rsid w:val="000B6C22"/>
    <w:rsid w:val="000B74E7"/>
    <w:rsid w:val="000B7FAB"/>
    <w:rsid w:val="000C01CF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D0567"/>
    <w:rsid w:val="000D07FD"/>
    <w:rsid w:val="000D0F32"/>
    <w:rsid w:val="000D32EB"/>
    <w:rsid w:val="000D3617"/>
    <w:rsid w:val="000D3C37"/>
    <w:rsid w:val="000D4683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0D6D"/>
    <w:rsid w:val="000F2C7A"/>
    <w:rsid w:val="000F3959"/>
    <w:rsid w:val="000F5045"/>
    <w:rsid w:val="000F632A"/>
    <w:rsid w:val="000F6CC2"/>
    <w:rsid w:val="000F74BB"/>
    <w:rsid w:val="000F750C"/>
    <w:rsid w:val="000F7838"/>
    <w:rsid w:val="000F7C74"/>
    <w:rsid w:val="000F7EBA"/>
    <w:rsid w:val="000F7ECD"/>
    <w:rsid w:val="00100BDA"/>
    <w:rsid w:val="00102353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D34"/>
    <w:rsid w:val="001113B7"/>
    <w:rsid w:val="001119B7"/>
    <w:rsid w:val="00111A67"/>
    <w:rsid w:val="00112E3E"/>
    <w:rsid w:val="001136BD"/>
    <w:rsid w:val="00113DEF"/>
    <w:rsid w:val="0011473E"/>
    <w:rsid w:val="00114EE0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6E0"/>
    <w:rsid w:val="00134AF1"/>
    <w:rsid w:val="00135E52"/>
    <w:rsid w:val="001404D7"/>
    <w:rsid w:val="00141099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FD8"/>
    <w:rsid w:val="00152760"/>
    <w:rsid w:val="00152A09"/>
    <w:rsid w:val="00153C82"/>
    <w:rsid w:val="00153D8F"/>
    <w:rsid w:val="00155AE9"/>
    <w:rsid w:val="00155DB3"/>
    <w:rsid w:val="0015623B"/>
    <w:rsid w:val="00157367"/>
    <w:rsid w:val="00157D30"/>
    <w:rsid w:val="00160FD8"/>
    <w:rsid w:val="00161A50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37D"/>
    <w:rsid w:val="0016742A"/>
    <w:rsid w:val="001702C8"/>
    <w:rsid w:val="0017041B"/>
    <w:rsid w:val="00170529"/>
    <w:rsid w:val="00170957"/>
    <w:rsid w:val="00170E3F"/>
    <w:rsid w:val="001713BB"/>
    <w:rsid w:val="0017365E"/>
    <w:rsid w:val="001741F2"/>
    <w:rsid w:val="001744EA"/>
    <w:rsid w:val="001754C6"/>
    <w:rsid w:val="0017571E"/>
    <w:rsid w:val="001760C0"/>
    <w:rsid w:val="001806F8"/>
    <w:rsid w:val="00180B8A"/>
    <w:rsid w:val="00181863"/>
    <w:rsid w:val="00182311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3AE3"/>
    <w:rsid w:val="0019426A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2037"/>
    <w:rsid w:val="001B28D5"/>
    <w:rsid w:val="001B350C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5B42"/>
    <w:rsid w:val="001C7547"/>
    <w:rsid w:val="001C76AE"/>
    <w:rsid w:val="001C77BA"/>
    <w:rsid w:val="001D1169"/>
    <w:rsid w:val="001D3742"/>
    <w:rsid w:val="001D3C48"/>
    <w:rsid w:val="001D3DA5"/>
    <w:rsid w:val="001D57B5"/>
    <w:rsid w:val="001D5912"/>
    <w:rsid w:val="001D69D1"/>
    <w:rsid w:val="001D7887"/>
    <w:rsid w:val="001D7B5D"/>
    <w:rsid w:val="001E0327"/>
    <w:rsid w:val="001E0B37"/>
    <w:rsid w:val="001E1155"/>
    <w:rsid w:val="001E22B6"/>
    <w:rsid w:val="001E2746"/>
    <w:rsid w:val="001E28E9"/>
    <w:rsid w:val="001E2A74"/>
    <w:rsid w:val="001E34A5"/>
    <w:rsid w:val="001E36B8"/>
    <w:rsid w:val="001E4B99"/>
    <w:rsid w:val="001E57E9"/>
    <w:rsid w:val="001E6173"/>
    <w:rsid w:val="001E6404"/>
    <w:rsid w:val="001E6C70"/>
    <w:rsid w:val="001E7FE9"/>
    <w:rsid w:val="001F0657"/>
    <w:rsid w:val="001F08AF"/>
    <w:rsid w:val="001F1959"/>
    <w:rsid w:val="001F2A46"/>
    <w:rsid w:val="001F3376"/>
    <w:rsid w:val="001F33A1"/>
    <w:rsid w:val="001F3E5B"/>
    <w:rsid w:val="001F6F69"/>
    <w:rsid w:val="002017CF"/>
    <w:rsid w:val="002025D0"/>
    <w:rsid w:val="0020344F"/>
    <w:rsid w:val="00203677"/>
    <w:rsid w:val="00205DAD"/>
    <w:rsid w:val="00205E3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2AA7"/>
    <w:rsid w:val="00223EA8"/>
    <w:rsid w:val="0022464C"/>
    <w:rsid w:val="00226B41"/>
    <w:rsid w:val="002327A2"/>
    <w:rsid w:val="00232F8E"/>
    <w:rsid w:val="0023443D"/>
    <w:rsid w:val="00235CF7"/>
    <w:rsid w:val="002363D1"/>
    <w:rsid w:val="0023663F"/>
    <w:rsid w:val="002413CA"/>
    <w:rsid w:val="00241A91"/>
    <w:rsid w:val="00242273"/>
    <w:rsid w:val="0024275A"/>
    <w:rsid w:val="00242B17"/>
    <w:rsid w:val="00244004"/>
    <w:rsid w:val="0024402E"/>
    <w:rsid w:val="00244AB2"/>
    <w:rsid w:val="0024512C"/>
    <w:rsid w:val="00245527"/>
    <w:rsid w:val="00246F8E"/>
    <w:rsid w:val="00247B61"/>
    <w:rsid w:val="00247C63"/>
    <w:rsid w:val="00250BA2"/>
    <w:rsid w:val="00251AD5"/>
    <w:rsid w:val="00252142"/>
    <w:rsid w:val="00252769"/>
    <w:rsid w:val="00252A10"/>
    <w:rsid w:val="00254BFE"/>
    <w:rsid w:val="00255823"/>
    <w:rsid w:val="00256A53"/>
    <w:rsid w:val="002601B9"/>
    <w:rsid w:val="00260A9F"/>
    <w:rsid w:val="00260C57"/>
    <w:rsid w:val="00261022"/>
    <w:rsid w:val="00262133"/>
    <w:rsid w:val="00262DBB"/>
    <w:rsid w:val="00262F29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1232"/>
    <w:rsid w:val="002820AB"/>
    <w:rsid w:val="00282461"/>
    <w:rsid w:val="002871F3"/>
    <w:rsid w:val="002908AA"/>
    <w:rsid w:val="002909B6"/>
    <w:rsid w:val="002914A7"/>
    <w:rsid w:val="00293315"/>
    <w:rsid w:val="002946C5"/>
    <w:rsid w:val="0029513A"/>
    <w:rsid w:val="00295858"/>
    <w:rsid w:val="00295CDC"/>
    <w:rsid w:val="00296398"/>
    <w:rsid w:val="002A00C3"/>
    <w:rsid w:val="002A1224"/>
    <w:rsid w:val="002A1AEC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3A16"/>
    <w:rsid w:val="002B4B19"/>
    <w:rsid w:val="002C0149"/>
    <w:rsid w:val="002C0832"/>
    <w:rsid w:val="002C1269"/>
    <w:rsid w:val="002C265D"/>
    <w:rsid w:val="002C36E5"/>
    <w:rsid w:val="002C4112"/>
    <w:rsid w:val="002C427B"/>
    <w:rsid w:val="002C652E"/>
    <w:rsid w:val="002C69C9"/>
    <w:rsid w:val="002D039B"/>
    <w:rsid w:val="002D09A8"/>
    <w:rsid w:val="002D1970"/>
    <w:rsid w:val="002D44D3"/>
    <w:rsid w:val="002D499C"/>
    <w:rsid w:val="002D5361"/>
    <w:rsid w:val="002D5A63"/>
    <w:rsid w:val="002D6158"/>
    <w:rsid w:val="002E1648"/>
    <w:rsid w:val="002E308F"/>
    <w:rsid w:val="002E58ED"/>
    <w:rsid w:val="002E789B"/>
    <w:rsid w:val="002F3131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1779"/>
    <w:rsid w:val="0030411A"/>
    <w:rsid w:val="00304AE5"/>
    <w:rsid w:val="00304B44"/>
    <w:rsid w:val="00305C14"/>
    <w:rsid w:val="003077FC"/>
    <w:rsid w:val="00310569"/>
    <w:rsid w:val="003107A7"/>
    <w:rsid w:val="00310975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1EF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37F85"/>
    <w:rsid w:val="00340066"/>
    <w:rsid w:val="00340165"/>
    <w:rsid w:val="00340AD4"/>
    <w:rsid w:val="00341C96"/>
    <w:rsid w:val="003421B0"/>
    <w:rsid w:val="0034316E"/>
    <w:rsid w:val="00344CB7"/>
    <w:rsid w:val="00345413"/>
    <w:rsid w:val="0035055D"/>
    <w:rsid w:val="003525D6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1FBD"/>
    <w:rsid w:val="003626B1"/>
    <w:rsid w:val="003677E7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1E1"/>
    <w:rsid w:val="003802D1"/>
    <w:rsid w:val="0038076E"/>
    <w:rsid w:val="0038105E"/>
    <w:rsid w:val="0038131F"/>
    <w:rsid w:val="00381F9E"/>
    <w:rsid w:val="00382EDF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A0918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A01"/>
    <w:rsid w:val="003B2F92"/>
    <w:rsid w:val="003B3933"/>
    <w:rsid w:val="003B47D3"/>
    <w:rsid w:val="003B4F65"/>
    <w:rsid w:val="003B509C"/>
    <w:rsid w:val="003B50A5"/>
    <w:rsid w:val="003B5271"/>
    <w:rsid w:val="003B67F8"/>
    <w:rsid w:val="003B6D7B"/>
    <w:rsid w:val="003B7A94"/>
    <w:rsid w:val="003C06F1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720"/>
    <w:rsid w:val="003C7889"/>
    <w:rsid w:val="003C78C8"/>
    <w:rsid w:val="003C7D5B"/>
    <w:rsid w:val="003D0607"/>
    <w:rsid w:val="003D0A8E"/>
    <w:rsid w:val="003D0B8D"/>
    <w:rsid w:val="003D3FCD"/>
    <w:rsid w:val="003D4ED5"/>
    <w:rsid w:val="003D6248"/>
    <w:rsid w:val="003E002C"/>
    <w:rsid w:val="003E0736"/>
    <w:rsid w:val="003E0B49"/>
    <w:rsid w:val="003E0F62"/>
    <w:rsid w:val="003E12C1"/>
    <w:rsid w:val="003E2B0E"/>
    <w:rsid w:val="003E2BD2"/>
    <w:rsid w:val="003E3F4D"/>
    <w:rsid w:val="003E4EAF"/>
    <w:rsid w:val="003E5E84"/>
    <w:rsid w:val="003E6164"/>
    <w:rsid w:val="003E63D8"/>
    <w:rsid w:val="003E7D51"/>
    <w:rsid w:val="003F1256"/>
    <w:rsid w:val="003F1D71"/>
    <w:rsid w:val="003F2968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087E"/>
    <w:rsid w:val="00411ABA"/>
    <w:rsid w:val="00412090"/>
    <w:rsid w:val="00413E54"/>
    <w:rsid w:val="00414B9C"/>
    <w:rsid w:val="00415EE9"/>
    <w:rsid w:val="00416095"/>
    <w:rsid w:val="0041752B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86B"/>
    <w:rsid w:val="00431D51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1E95"/>
    <w:rsid w:val="004736D0"/>
    <w:rsid w:val="00473B5A"/>
    <w:rsid w:val="004746BE"/>
    <w:rsid w:val="00475D53"/>
    <w:rsid w:val="0047613B"/>
    <w:rsid w:val="0048140A"/>
    <w:rsid w:val="00482FB2"/>
    <w:rsid w:val="004831C9"/>
    <w:rsid w:val="004832B0"/>
    <w:rsid w:val="00483405"/>
    <w:rsid w:val="0048357E"/>
    <w:rsid w:val="0048380F"/>
    <w:rsid w:val="00486058"/>
    <w:rsid w:val="00486900"/>
    <w:rsid w:val="0049003B"/>
    <w:rsid w:val="004903C0"/>
    <w:rsid w:val="00490717"/>
    <w:rsid w:val="00490A26"/>
    <w:rsid w:val="00490B23"/>
    <w:rsid w:val="00491D27"/>
    <w:rsid w:val="004927C6"/>
    <w:rsid w:val="0049427C"/>
    <w:rsid w:val="00494BF3"/>
    <w:rsid w:val="0049726A"/>
    <w:rsid w:val="00497FF7"/>
    <w:rsid w:val="004A046F"/>
    <w:rsid w:val="004A3FD4"/>
    <w:rsid w:val="004A46F5"/>
    <w:rsid w:val="004A474F"/>
    <w:rsid w:val="004A6710"/>
    <w:rsid w:val="004A785D"/>
    <w:rsid w:val="004A7A0D"/>
    <w:rsid w:val="004B16B8"/>
    <w:rsid w:val="004B178F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2610"/>
    <w:rsid w:val="004C3C11"/>
    <w:rsid w:val="004C4ACF"/>
    <w:rsid w:val="004C4E49"/>
    <w:rsid w:val="004C518C"/>
    <w:rsid w:val="004C65A3"/>
    <w:rsid w:val="004C675F"/>
    <w:rsid w:val="004C74E5"/>
    <w:rsid w:val="004D1CF2"/>
    <w:rsid w:val="004D2860"/>
    <w:rsid w:val="004D3103"/>
    <w:rsid w:val="004D3264"/>
    <w:rsid w:val="004D348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9CF"/>
    <w:rsid w:val="004E47DE"/>
    <w:rsid w:val="004E4F4C"/>
    <w:rsid w:val="004E53E3"/>
    <w:rsid w:val="004E5A95"/>
    <w:rsid w:val="004E6B8D"/>
    <w:rsid w:val="004E6F92"/>
    <w:rsid w:val="004E7AC4"/>
    <w:rsid w:val="004E7C4A"/>
    <w:rsid w:val="004F1092"/>
    <w:rsid w:val="004F3F04"/>
    <w:rsid w:val="004F4796"/>
    <w:rsid w:val="004F4842"/>
    <w:rsid w:val="004F4BFF"/>
    <w:rsid w:val="004F5638"/>
    <w:rsid w:val="004F5AB1"/>
    <w:rsid w:val="004F6224"/>
    <w:rsid w:val="004F6ECF"/>
    <w:rsid w:val="004F6F81"/>
    <w:rsid w:val="004F7E97"/>
    <w:rsid w:val="00500E2C"/>
    <w:rsid w:val="0050153C"/>
    <w:rsid w:val="00501891"/>
    <w:rsid w:val="005018E7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7852"/>
    <w:rsid w:val="005179EA"/>
    <w:rsid w:val="00521351"/>
    <w:rsid w:val="00521C19"/>
    <w:rsid w:val="005226BA"/>
    <w:rsid w:val="00523149"/>
    <w:rsid w:val="005238D5"/>
    <w:rsid w:val="00523FA8"/>
    <w:rsid w:val="005248E5"/>
    <w:rsid w:val="0052559B"/>
    <w:rsid w:val="005257BD"/>
    <w:rsid w:val="00532212"/>
    <w:rsid w:val="005325AD"/>
    <w:rsid w:val="005331E2"/>
    <w:rsid w:val="00534D59"/>
    <w:rsid w:val="00535C4D"/>
    <w:rsid w:val="00536334"/>
    <w:rsid w:val="00537584"/>
    <w:rsid w:val="005401C3"/>
    <w:rsid w:val="00540EBB"/>
    <w:rsid w:val="00541725"/>
    <w:rsid w:val="00542857"/>
    <w:rsid w:val="0054291F"/>
    <w:rsid w:val="00542C87"/>
    <w:rsid w:val="00543928"/>
    <w:rsid w:val="00546AC8"/>
    <w:rsid w:val="0055556C"/>
    <w:rsid w:val="0055566B"/>
    <w:rsid w:val="00556F47"/>
    <w:rsid w:val="005571A6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670D6"/>
    <w:rsid w:val="00570D5B"/>
    <w:rsid w:val="00571727"/>
    <w:rsid w:val="005718BF"/>
    <w:rsid w:val="0057237B"/>
    <w:rsid w:val="00572ACA"/>
    <w:rsid w:val="005746B9"/>
    <w:rsid w:val="00574AF2"/>
    <w:rsid w:val="00575BDB"/>
    <w:rsid w:val="005764CE"/>
    <w:rsid w:val="00576AAB"/>
    <w:rsid w:val="00576BE6"/>
    <w:rsid w:val="0058049B"/>
    <w:rsid w:val="005816DF"/>
    <w:rsid w:val="00581E8E"/>
    <w:rsid w:val="0058242A"/>
    <w:rsid w:val="00583B59"/>
    <w:rsid w:val="0058409A"/>
    <w:rsid w:val="0058443D"/>
    <w:rsid w:val="0058469D"/>
    <w:rsid w:val="00585363"/>
    <w:rsid w:val="005854C0"/>
    <w:rsid w:val="0058631D"/>
    <w:rsid w:val="00591C2E"/>
    <w:rsid w:val="00591D85"/>
    <w:rsid w:val="005939BF"/>
    <w:rsid w:val="00593EAB"/>
    <w:rsid w:val="0059489A"/>
    <w:rsid w:val="00594A70"/>
    <w:rsid w:val="00595F5F"/>
    <w:rsid w:val="005966DF"/>
    <w:rsid w:val="00596F0D"/>
    <w:rsid w:val="005977FC"/>
    <w:rsid w:val="00597ABD"/>
    <w:rsid w:val="00597E8D"/>
    <w:rsid w:val="00597EF3"/>
    <w:rsid w:val="005A03CA"/>
    <w:rsid w:val="005A0C2A"/>
    <w:rsid w:val="005A1D04"/>
    <w:rsid w:val="005A2368"/>
    <w:rsid w:val="005A2441"/>
    <w:rsid w:val="005A350A"/>
    <w:rsid w:val="005A35E7"/>
    <w:rsid w:val="005A42B3"/>
    <w:rsid w:val="005A4860"/>
    <w:rsid w:val="005A566F"/>
    <w:rsid w:val="005A5770"/>
    <w:rsid w:val="005B026E"/>
    <w:rsid w:val="005B0C02"/>
    <w:rsid w:val="005B3887"/>
    <w:rsid w:val="005B3AB0"/>
    <w:rsid w:val="005B3DA0"/>
    <w:rsid w:val="005B3F84"/>
    <w:rsid w:val="005B465A"/>
    <w:rsid w:val="005B4A80"/>
    <w:rsid w:val="005B4AB0"/>
    <w:rsid w:val="005B50C6"/>
    <w:rsid w:val="005B5337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4838"/>
    <w:rsid w:val="005D5099"/>
    <w:rsid w:val="005D56DA"/>
    <w:rsid w:val="005D5F47"/>
    <w:rsid w:val="005D5FBF"/>
    <w:rsid w:val="005D6166"/>
    <w:rsid w:val="005D71EC"/>
    <w:rsid w:val="005E2271"/>
    <w:rsid w:val="005E238E"/>
    <w:rsid w:val="005E245A"/>
    <w:rsid w:val="005E2C94"/>
    <w:rsid w:val="005E4AA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645B"/>
    <w:rsid w:val="005F7BE5"/>
    <w:rsid w:val="006021E3"/>
    <w:rsid w:val="00602E67"/>
    <w:rsid w:val="006032DA"/>
    <w:rsid w:val="006034C0"/>
    <w:rsid w:val="00603AE6"/>
    <w:rsid w:val="00604918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1F"/>
    <w:rsid w:val="006231AE"/>
    <w:rsid w:val="0062329C"/>
    <w:rsid w:val="00623474"/>
    <w:rsid w:val="0062370A"/>
    <w:rsid w:val="00623EDB"/>
    <w:rsid w:val="00623F09"/>
    <w:rsid w:val="006245EF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2D27"/>
    <w:rsid w:val="0063497A"/>
    <w:rsid w:val="00634E04"/>
    <w:rsid w:val="0063759F"/>
    <w:rsid w:val="006377A9"/>
    <w:rsid w:val="0064184B"/>
    <w:rsid w:val="006418F1"/>
    <w:rsid w:val="006437FF"/>
    <w:rsid w:val="00643CDE"/>
    <w:rsid w:val="00644F94"/>
    <w:rsid w:val="00644FE8"/>
    <w:rsid w:val="006474AB"/>
    <w:rsid w:val="006478A6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3D6E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4DE3"/>
    <w:rsid w:val="0067659E"/>
    <w:rsid w:val="00676927"/>
    <w:rsid w:val="00676996"/>
    <w:rsid w:val="00676EE0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3AD8"/>
    <w:rsid w:val="006A400B"/>
    <w:rsid w:val="006A44DF"/>
    <w:rsid w:val="006A4762"/>
    <w:rsid w:val="006A554A"/>
    <w:rsid w:val="006A5C6A"/>
    <w:rsid w:val="006A5C82"/>
    <w:rsid w:val="006A7AAB"/>
    <w:rsid w:val="006B06E5"/>
    <w:rsid w:val="006B0BB0"/>
    <w:rsid w:val="006B118F"/>
    <w:rsid w:val="006B1E9A"/>
    <w:rsid w:val="006B21F8"/>
    <w:rsid w:val="006B2583"/>
    <w:rsid w:val="006B28AB"/>
    <w:rsid w:val="006B29B2"/>
    <w:rsid w:val="006B33AE"/>
    <w:rsid w:val="006B4518"/>
    <w:rsid w:val="006B47E9"/>
    <w:rsid w:val="006B4D16"/>
    <w:rsid w:val="006B4E87"/>
    <w:rsid w:val="006B69CF"/>
    <w:rsid w:val="006B6AD0"/>
    <w:rsid w:val="006B7887"/>
    <w:rsid w:val="006C0B00"/>
    <w:rsid w:val="006C15F7"/>
    <w:rsid w:val="006C2268"/>
    <w:rsid w:val="006C4142"/>
    <w:rsid w:val="006C57BA"/>
    <w:rsid w:val="006C597B"/>
    <w:rsid w:val="006C6620"/>
    <w:rsid w:val="006C69EE"/>
    <w:rsid w:val="006C6F22"/>
    <w:rsid w:val="006C776C"/>
    <w:rsid w:val="006C79BB"/>
    <w:rsid w:val="006C7DFF"/>
    <w:rsid w:val="006D063B"/>
    <w:rsid w:val="006D0708"/>
    <w:rsid w:val="006D1655"/>
    <w:rsid w:val="006D1804"/>
    <w:rsid w:val="006D240C"/>
    <w:rsid w:val="006D425E"/>
    <w:rsid w:val="006D4818"/>
    <w:rsid w:val="006D48A6"/>
    <w:rsid w:val="006D57D8"/>
    <w:rsid w:val="006D5C2C"/>
    <w:rsid w:val="006D6021"/>
    <w:rsid w:val="006D620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79A"/>
    <w:rsid w:val="006E4D4D"/>
    <w:rsid w:val="006E5F1B"/>
    <w:rsid w:val="006E6264"/>
    <w:rsid w:val="006F0740"/>
    <w:rsid w:val="006F190E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2B27"/>
    <w:rsid w:val="007030FA"/>
    <w:rsid w:val="0070400C"/>
    <w:rsid w:val="00704319"/>
    <w:rsid w:val="007048C7"/>
    <w:rsid w:val="00704BFD"/>
    <w:rsid w:val="0070509E"/>
    <w:rsid w:val="007050C2"/>
    <w:rsid w:val="007058A0"/>
    <w:rsid w:val="00705917"/>
    <w:rsid w:val="00705CAC"/>
    <w:rsid w:val="0070626C"/>
    <w:rsid w:val="00706C09"/>
    <w:rsid w:val="00706CA5"/>
    <w:rsid w:val="00706F1E"/>
    <w:rsid w:val="0070760B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1CE0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A5A"/>
    <w:rsid w:val="00733C81"/>
    <w:rsid w:val="007344CE"/>
    <w:rsid w:val="007344D8"/>
    <w:rsid w:val="0073634C"/>
    <w:rsid w:val="00736527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46D12"/>
    <w:rsid w:val="007502BB"/>
    <w:rsid w:val="007505F0"/>
    <w:rsid w:val="0075233E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654A"/>
    <w:rsid w:val="007771C5"/>
    <w:rsid w:val="00780173"/>
    <w:rsid w:val="007810A2"/>
    <w:rsid w:val="007839B3"/>
    <w:rsid w:val="007870FB"/>
    <w:rsid w:val="00787C7B"/>
    <w:rsid w:val="00787E86"/>
    <w:rsid w:val="007922BE"/>
    <w:rsid w:val="007927AE"/>
    <w:rsid w:val="00792D80"/>
    <w:rsid w:val="00794459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0F1"/>
    <w:rsid w:val="007C0613"/>
    <w:rsid w:val="007C1E1D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3B28"/>
    <w:rsid w:val="007D5FF2"/>
    <w:rsid w:val="007D6797"/>
    <w:rsid w:val="007D6ACE"/>
    <w:rsid w:val="007D7137"/>
    <w:rsid w:val="007E0E4A"/>
    <w:rsid w:val="007E17EC"/>
    <w:rsid w:val="007E1D42"/>
    <w:rsid w:val="007E404B"/>
    <w:rsid w:val="007E43B7"/>
    <w:rsid w:val="007E663A"/>
    <w:rsid w:val="007E69EF"/>
    <w:rsid w:val="007F1CEE"/>
    <w:rsid w:val="007F2311"/>
    <w:rsid w:val="007F2680"/>
    <w:rsid w:val="007F295E"/>
    <w:rsid w:val="007F3054"/>
    <w:rsid w:val="007F34B1"/>
    <w:rsid w:val="007F4E5E"/>
    <w:rsid w:val="007F4F96"/>
    <w:rsid w:val="007F57C6"/>
    <w:rsid w:val="007F5E8F"/>
    <w:rsid w:val="007F6A11"/>
    <w:rsid w:val="007F6B43"/>
    <w:rsid w:val="007F6EE4"/>
    <w:rsid w:val="007F750E"/>
    <w:rsid w:val="007F7A53"/>
    <w:rsid w:val="007F7B9D"/>
    <w:rsid w:val="008009D8"/>
    <w:rsid w:val="00802C56"/>
    <w:rsid w:val="00803C07"/>
    <w:rsid w:val="00805136"/>
    <w:rsid w:val="00805172"/>
    <w:rsid w:val="00805546"/>
    <w:rsid w:val="00806BE4"/>
    <w:rsid w:val="00806F99"/>
    <w:rsid w:val="00807724"/>
    <w:rsid w:val="00810B98"/>
    <w:rsid w:val="008116B7"/>
    <w:rsid w:val="00811C0F"/>
    <w:rsid w:val="00812493"/>
    <w:rsid w:val="00812567"/>
    <w:rsid w:val="0081296A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CF4"/>
    <w:rsid w:val="00820146"/>
    <w:rsid w:val="008212BD"/>
    <w:rsid w:val="0082145B"/>
    <w:rsid w:val="00821A26"/>
    <w:rsid w:val="00821F27"/>
    <w:rsid w:val="0082248B"/>
    <w:rsid w:val="00822882"/>
    <w:rsid w:val="00823625"/>
    <w:rsid w:val="00823B73"/>
    <w:rsid w:val="00824202"/>
    <w:rsid w:val="00825383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2B99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1CAA"/>
    <w:rsid w:val="00881F56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97910"/>
    <w:rsid w:val="008A27C2"/>
    <w:rsid w:val="008A3CBE"/>
    <w:rsid w:val="008A5DAA"/>
    <w:rsid w:val="008A6166"/>
    <w:rsid w:val="008A6DE7"/>
    <w:rsid w:val="008A7772"/>
    <w:rsid w:val="008A7D50"/>
    <w:rsid w:val="008B0223"/>
    <w:rsid w:val="008B0FC3"/>
    <w:rsid w:val="008B2027"/>
    <w:rsid w:val="008B22EE"/>
    <w:rsid w:val="008B2799"/>
    <w:rsid w:val="008B465D"/>
    <w:rsid w:val="008B5D3E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2947"/>
    <w:rsid w:val="008C3577"/>
    <w:rsid w:val="008C44B5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4EEC"/>
    <w:rsid w:val="008D54BE"/>
    <w:rsid w:val="008D565D"/>
    <w:rsid w:val="008D5BDF"/>
    <w:rsid w:val="008D5D3E"/>
    <w:rsid w:val="008D5D71"/>
    <w:rsid w:val="008D5F50"/>
    <w:rsid w:val="008D6535"/>
    <w:rsid w:val="008D6A9B"/>
    <w:rsid w:val="008D7250"/>
    <w:rsid w:val="008D7C58"/>
    <w:rsid w:val="008E0327"/>
    <w:rsid w:val="008E1505"/>
    <w:rsid w:val="008E224F"/>
    <w:rsid w:val="008E31D7"/>
    <w:rsid w:val="008E39F5"/>
    <w:rsid w:val="008E435F"/>
    <w:rsid w:val="008E437F"/>
    <w:rsid w:val="008E47BC"/>
    <w:rsid w:val="008E5000"/>
    <w:rsid w:val="008E60F5"/>
    <w:rsid w:val="008E6F0C"/>
    <w:rsid w:val="008E79A2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477B"/>
    <w:rsid w:val="0090585A"/>
    <w:rsid w:val="0090589F"/>
    <w:rsid w:val="0090593C"/>
    <w:rsid w:val="009063A2"/>
    <w:rsid w:val="00906A1B"/>
    <w:rsid w:val="00906DC4"/>
    <w:rsid w:val="009121BF"/>
    <w:rsid w:val="009123B7"/>
    <w:rsid w:val="00913084"/>
    <w:rsid w:val="0091373B"/>
    <w:rsid w:val="00913A82"/>
    <w:rsid w:val="00914596"/>
    <w:rsid w:val="00915902"/>
    <w:rsid w:val="00916714"/>
    <w:rsid w:val="00917115"/>
    <w:rsid w:val="00917CF1"/>
    <w:rsid w:val="00920D0B"/>
    <w:rsid w:val="009214DB"/>
    <w:rsid w:val="009214E5"/>
    <w:rsid w:val="00922878"/>
    <w:rsid w:val="00924271"/>
    <w:rsid w:val="009242D9"/>
    <w:rsid w:val="0092444F"/>
    <w:rsid w:val="009248C3"/>
    <w:rsid w:val="00925AA6"/>
    <w:rsid w:val="00925EAC"/>
    <w:rsid w:val="009275F8"/>
    <w:rsid w:val="009321FE"/>
    <w:rsid w:val="00933C11"/>
    <w:rsid w:val="00934279"/>
    <w:rsid w:val="00934A49"/>
    <w:rsid w:val="0093783D"/>
    <w:rsid w:val="009400E3"/>
    <w:rsid w:val="00942462"/>
    <w:rsid w:val="009428A3"/>
    <w:rsid w:val="00942EDF"/>
    <w:rsid w:val="009440B4"/>
    <w:rsid w:val="0094458E"/>
    <w:rsid w:val="00944A2A"/>
    <w:rsid w:val="00946640"/>
    <w:rsid w:val="00951216"/>
    <w:rsid w:val="00951ABE"/>
    <w:rsid w:val="00954558"/>
    <w:rsid w:val="00954A75"/>
    <w:rsid w:val="009560B9"/>
    <w:rsid w:val="00956F14"/>
    <w:rsid w:val="009572CC"/>
    <w:rsid w:val="00957E21"/>
    <w:rsid w:val="009600F6"/>
    <w:rsid w:val="009609C9"/>
    <w:rsid w:val="00960EC7"/>
    <w:rsid w:val="009610D3"/>
    <w:rsid w:val="00963BEA"/>
    <w:rsid w:val="00963FEB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07C"/>
    <w:rsid w:val="009734C5"/>
    <w:rsid w:val="00973964"/>
    <w:rsid w:val="00974C9E"/>
    <w:rsid w:val="00975DEA"/>
    <w:rsid w:val="009763F7"/>
    <w:rsid w:val="009767FB"/>
    <w:rsid w:val="009768AC"/>
    <w:rsid w:val="009768E6"/>
    <w:rsid w:val="00976C5F"/>
    <w:rsid w:val="00976D33"/>
    <w:rsid w:val="00981E8E"/>
    <w:rsid w:val="00981F5D"/>
    <w:rsid w:val="0098268C"/>
    <w:rsid w:val="00983414"/>
    <w:rsid w:val="00983FB8"/>
    <w:rsid w:val="009843FC"/>
    <w:rsid w:val="009849E9"/>
    <w:rsid w:val="00985AA4"/>
    <w:rsid w:val="00986D52"/>
    <w:rsid w:val="0099164D"/>
    <w:rsid w:val="00991FF1"/>
    <w:rsid w:val="009922A8"/>
    <w:rsid w:val="0099272E"/>
    <w:rsid w:val="00992C12"/>
    <w:rsid w:val="00992DBB"/>
    <w:rsid w:val="00996733"/>
    <w:rsid w:val="0099706A"/>
    <w:rsid w:val="00997819"/>
    <w:rsid w:val="00997C23"/>
    <w:rsid w:val="009A01E3"/>
    <w:rsid w:val="009A1D8C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1C1"/>
    <w:rsid w:val="009C4E83"/>
    <w:rsid w:val="009C58BC"/>
    <w:rsid w:val="009C72A8"/>
    <w:rsid w:val="009D0564"/>
    <w:rsid w:val="009D11E5"/>
    <w:rsid w:val="009D1BC4"/>
    <w:rsid w:val="009D32B0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60B8"/>
    <w:rsid w:val="009E79F0"/>
    <w:rsid w:val="009F04AD"/>
    <w:rsid w:val="009F1969"/>
    <w:rsid w:val="009F287A"/>
    <w:rsid w:val="009F6998"/>
    <w:rsid w:val="009F721E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47D9"/>
    <w:rsid w:val="00A055B8"/>
    <w:rsid w:val="00A056E3"/>
    <w:rsid w:val="00A06684"/>
    <w:rsid w:val="00A06A26"/>
    <w:rsid w:val="00A06CAC"/>
    <w:rsid w:val="00A06F41"/>
    <w:rsid w:val="00A06F46"/>
    <w:rsid w:val="00A07DFB"/>
    <w:rsid w:val="00A12329"/>
    <w:rsid w:val="00A17009"/>
    <w:rsid w:val="00A201C8"/>
    <w:rsid w:val="00A204DA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D95"/>
    <w:rsid w:val="00A47E78"/>
    <w:rsid w:val="00A47EE4"/>
    <w:rsid w:val="00A5069C"/>
    <w:rsid w:val="00A50A2E"/>
    <w:rsid w:val="00A510C0"/>
    <w:rsid w:val="00A51AB9"/>
    <w:rsid w:val="00A51E19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746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55F"/>
    <w:rsid w:val="00A80BAE"/>
    <w:rsid w:val="00A81907"/>
    <w:rsid w:val="00A82014"/>
    <w:rsid w:val="00A83004"/>
    <w:rsid w:val="00A8419E"/>
    <w:rsid w:val="00A85D83"/>
    <w:rsid w:val="00A8601C"/>
    <w:rsid w:val="00A86616"/>
    <w:rsid w:val="00A874D1"/>
    <w:rsid w:val="00A875FA"/>
    <w:rsid w:val="00A902C3"/>
    <w:rsid w:val="00A91155"/>
    <w:rsid w:val="00A92C6B"/>
    <w:rsid w:val="00A93FD0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3331"/>
    <w:rsid w:val="00AA3942"/>
    <w:rsid w:val="00AA52E5"/>
    <w:rsid w:val="00AA5911"/>
    <w:rsid w:val="00AA5A64"/>
    <w:rsid w:val="00AA7624"/>
    <w:rsid w:val="00AB19F8"/>
    <w:rsid w:val="00AB2298"/>
    <w:rsid w:val="00AB2841"/>
    <w:rsid w:val="00AB2ECE"/>
    <w:rsid w:val="00AB2EE2"/>
    <w:rsid w:val="00AB3FC4"/>
    <w:rsid w:val="00AB4626"/>
    <w:rsid w:val="00AC1CCA"/>
    <w:rsid w:val="00AC23B9"/>
    <w:rsid w:val="00AC25B4"/>
    <w:rsid w:val="00AC3B53"/>
    <w:rsid w:val="00AC49AD"/>
    <w:rsid w:val="00AC5342"/>
    <w:rsid w:val="00AC55E3"/>
    <w:rsid w:val="00AC659A"/>
    <w:rsid w:val="00AC659D"/>
    <w:rsid w:val="00AD0287"/>
    <w:rsid w:val="00AD14B2"/>
    <w:rsid w:val="00AD3796"/>
    <w:rsid w:val="00AD3C4D"/>
    <w:rsid w:val="00AD4207"/>
    <w:rsid w:val="00AD52AA"/>
    <w:rsid w:val="00AE0990"/>
    <w:rsid w:val="00AE12FE"/>
    <w:rsid w:val="00AE188F"/>
    <w:rsid w:val="00AE1A2E"/>
    <w:rsid w:val="00AE1C55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E7C2B"/>
    <w:rsid w:val="00AF0122"/>
    <w:rsid w:val="00AF060B"/>
    <w:rsid w:val="00AF190F"/>
    <w:rsid w:val="00AF2210"/>
    <w:rsid w:val="00AF330A"/>
    <w:rsid w:val="00AF3ADE"/>
    <w:rsid w:val="00AF3F9D"/>
    <w:rsid w:val="00AF498F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63EE"/>
    <w:rsid w:val="00B0715C"/>
    <w:rsid w:val="00B0741F"/>
    <w:rsid w:val="00B07ECB"/>
    <w:rsid w:val="00B10CF5"/>
    <w:rsid w:val="00B11AE4"/>
    <w:rsid w:val="00B1229D"/>
    <w:rsid w:val="00B13945"/>
    <w:rsid w:val="00B13E63"/>
    <w:rsid w:val="00B15735"/>
    <w:rsid w:val="00B16BF6"/>
    <w:rsid w:val="00B170B3"/>
    <w:rsid w:val="00B1731A"/>
    <w:rsid w:val="00B17BCA"/>
    <w:rsid w:val="00B22613"/>
    <w:rsid w:val="00B23EE6"/>
    <w:rsid w:val="00B248ED"/>
    <w:rsid w:val="00B2560F"/>
    <w:rsid w:val="00B256B5"/>
    <w:rsid w:val="00B25D57"/>
    <w:rsid w:val="00B26358"/>
    <w:rsid w:val="00B26A39"/>
    <w:rsid w:val="00B30954"/>
    <w:rsid w:val="00B31125"/>
    <w:rsid w:val="00B318C2"/>
    <w:rsid w:val="00B32AC6"/>
    <w:rsid w:val="00B32C4D"/>
    <w:rsid w:val="00B33D5B"/>
    <w:rsid w:val="00B34842"/>
    <w:rsid w:val="00B34DB2"/>
    <w:rsid w:val="00B352DE"/>
    <w:rsid w:val="00B35D03"/>
    <w:rsid w:val="00B3639D"/>
    <w:rsid w:val="00B36817"/>
    <w:rsid w:val="00B36B49"/>
    <w:rsid w:val="00B3738D"/>
    <w:rsid w:val="00B409C4"/>
    <w:rsid w:val="00B41D07"/>
    <w:rsid w:val="00B430F7"/>
    <w:rsid w:val="00B43110"/>
    <w:rsid w:val="00B4317D"/>
    <w:rsid w:val="00B436A2"/>
    <w:rsid w:val="00B43B00"/>
    <w:rsid w:val="00B43B92"/>
    <w:rsid w:val="00B442C9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3C86"/>
    <w:rsid w:val="00B64272"/>
    <w:rsid w:val="00B64531"/>
    <w:rsid w:val="00B645B5"/>
    <w:rsid w:val="00B64BF5"/>
    <w:rsid w:val="00B65ABB"/>
    <w:rsid w:val="00B6604B"/>
    <w:rsid w:val="00B6621C"/>
    <w:rsid w:val="00B67A1A"/>
    <w:rsid w:val="00B72812"/>
    <w:rsid w:val="00B72BDD"/>
    <w:rsid w:val="00B72F37"/>
    <w:rsid w:val="00B7355C"/>
    <w:rsid w:val="00B73A94"/>
    <w:rsid w:val="00B742B0"/>
    <w:rsid w:val="00B74A52"/>
    <w:rsid w:val="00B74AE4"/>
    <w:rsid w:val="00B74D4F"/>
    <w:rsid w:val="00B7544D"/>
    <w:rsid w:val="00B77485"/>
    <w:rsid w:val="00B7787C"/>
    <w:rsid w:val="00B77AD5"/>
    <w:rsid w:val="00B8155C"/>
    <w:rsid w:val="00B83532"/>
    <w:rsid w:val="00B83BBF"/>
    <w:rsid w:val="00B85C81"/>
    <w:rsid w:val="00B86319"/>
    <w:rsid w:val="00B86634"/>
    <w:rsid w:val="00B86BC5"/>
    <w:rsid w:val="00B86D50"/>
    <w:rsid w:val="00B9162E"/>
    <w:rsid w:val="00B918C6"/>
    <w:rsid w:val="00B91B2F"/>
    <w:rsid w:val="00B930CD"/>
    <w:rsid w:val="00B932A7"/>
    <w:rsid w:val="00B935AF"/>
    <w:rsid w:val="00B93D73"/>
    <w:rsid w:val="00B94433"/>
    <w:rsid w:val="00B95BAE"/>
    <w:rsid w:val="00BA04B2"/>
    <w:rsid w:val="00BA07C7"/>
    <w:rsid w:val="00BA0A54"/>
    <w:rsid w:val="00BA19C7"/>
    <w:rsid w:val="00BA3D94"/>
    <w:rsid w:val="00BA3F8D"/>
    <w:rsid w:val="00BA4474"/>
    <w:rsid w:val="00BB3138"/>
    <w:rsid w:val="00BB385B"/>
    <w:rsid w:val="00BB44D3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E7495"/>
    <w:rsid w:val="00BE7DE1"/>
    <w:rsid w:val="00BF03D6"/>
    <w:rsid w:val="00BF22DF"/>
    <w:rsid w:val="00BF29A3"/>
    <w:rsid w:val="00BF4E96"/>
    <w:rsid w:val="00BF503C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5EB"/>
    <w:rsid w:val="00C12769"/>
    <w:rsid w:val="00C13257"/>
    <w:rsid w:val="00C145E4"/>
    <w:rsid w:val="00C145FA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7E1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31626"/>
    <w:rsid w:val="00C31A52"/>
    <w:rsid w:val="00C31E1B"/>
    <w:rsid w:val="00C333F7"/>
    <w:rsid w:val="00C34481"/>
    <w:rsid w:val="00C35D09"/>
    <w:rsid w:val="00C37393"/>
    <w:rsid w:val="00C37DE5"/>
    <w:rsid w:val="00C40734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38E8"/>
    <w:rsid w:val="00C54F6A"/>
    <w:rsid w:val="00C57E5B"/>
    <w:rsid w:val="00C60344"/>
    <w:rsid w:val="00C604CB"/>
    <w:rsid w:val="00C63A0D"/>
    <w:rsid w:val="00C63E04"/>
    <w:rsid w:val="00C64670"/>
    <w:rsid w:val="00C65B76"/>
    <w:rsid w:val="00C65F60"/>
    <w:rsid w:val="00C668EB"/>
    <w:rsid w:val="00C674BC"/>
    <w:rsid w:val="00C709CC"/>
    <w:rsid w:val="00C70FB3"/>
    <w:rsid w:val="00C71A15"/>
    <w:rsid w:val="00C71F26"/>
    <w:rsid w:val="00C7332B"/>
    <w:rsid w:val="00C73454"/>
    <w:rsid w:val="00C73511"/>
    <w:rsid w:val="00C73635"/>
    <w:rsid w:val="00C73925"/>
    <w:rsid w:val="00C74241"/>
    <w:rsid w:val="00C74C65"/>
    <w:rsid w:val="00C76AA4"/>
    <w:rsid w:val="00C801B3"/>
    <w:rsid w:val="00C807A5"/>
    <w:rsid w:val="00C80E5E"/>
    <w:rsid w:val="00C82816"/>
    <w:rsid w:val="00C82E16"/>
    <w:rsid w:val="00C83128"/>
    <w:rsid w:val="00C834F9"/>
    <w:rsid w:val="00C83DCC"/>
    <w:rsid w:val="00C843AC"/>
    <w:rsid w:val="00C84540"/>
    <w:rsid w:val="00C84894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9C3"/>
    <w:rsid w:val="00C95B42"/>
    <w:rsid w:val="00C96C52"/>
    <w:rsid w:val="00C9739E"/>
    <w:rsid w:val="00CA0164"/>
    <w:rsid w:val="00CA032A"/>
    <w:rsid w:val="00CA1545"/>
    <w:rsid w:val="00CA2014"/>
    <w:rsid w:val="00CA32AE"/>
    <w:rsid w:val="00CA3E7D"/>
    <w:rsid w:val="00CA3F12"/>
    <w:rsid w:val="00CA478C"/>
    <w:rsid w:val="00CA4BC8"/>
    <w:rsid w:val="00CA4E1A"/>
    <w:rsid w:val="00CA5A78"/>
    <w:rsid w:val="00CA5C99"/>
    <w:rsid w:val="00CA621B"/>
    <w:rsid w:val="00CA65AC"/>
    <w:rsid w:val="00CA726B"/>
    <w:rsid w:val="00CB17DD"/>
    <w:rsid w:val="00CB30E8"/>
    <w:rsid w:val="00CB62B3"/>
    <w:rsid w:val="00CB65FF"/>
    <w:rsid w:val="00CB77EA"/>
    <w:rsid w:val="00CC1A91"/>
    <w:rsid w:val="00CC1C9A"/>
    <w:rsid w:val="00CC1D22"/>
    <w:rsid w:val="00CC1FCC"/>
    <w:rsid w:val="00CC3B54"/>
    <w:rsid w:val="00CC3DDC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4E1B"/>
    <w:rsid w:val="00CD6174"/>
    <w:rsid w:val="00CD6772"/>
    <w:rsid w:val="00CD6F45"/>
    <w:rsid w:val="00CE3BCE"/>
    <w:rsid w:val="00CE3E22"/>
    <w:rsid w:val="00CE3FCB"/>
    <w:rsid w:val="00CE5C9C"/>
    <w:rsid w:val="00CE6707"/>
    <w:rsid w:val="00CF0015"/>
    <w:rsid w:val="00CF0AD2"/>
    <w:rsid w:val="00CF2559"/>
    <w:rsid w:val="00CF2A64"/>
    <w:rsid w:val="00CF2AB6"/>
    <w:rsid w:val="00CF2B23"/>
    <w:rsid w:val="00CF30C0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17C35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822"/>
    <w:rsid w:val="00D301D8"/>
    <w:rsid w:val="00D31188"/>
    <w:rsid w:val="00D31A66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340E"/>
    <w:rsid w:val="00D54625"/>
    <w:rsid w:val="00D54A81"/>
    <w:rsid w:val="00D54B34"/>
    <w:rsid w:val="00D554C1"/>
    <w:rsid w:val="00D5569A"/>
    <w:rsid w:val="00D55EED"/>
    <w:rsid w:val="00D57116"/>
    <w:rsid w:val="00D57140"/>
    <w:rsid w:val="00D575CA"/>
    <w:rsid w:val="00D60658"/>
    <w:rsid w:val="00D60D36"/>
    <w:rsid w:val="00D61BA8"/>
    <w:rsid w:val="00D6232A"/>
    <w:rsid w:val="00D62F0C"/>
    <w:rsid w:val="00D63C1E"/>
    <w:rsid w:val="00D64AB3"/>
    <w:rsid w:val="00D65324"/>
    <w:rsid w:val="00D65CBF"/>
    <w:rsid w:val="00D66A7D"/>
    <w:rsid w:val="00D66FB8"/>
    <w:rsid w:val="00D67FCF"/>
    <w:rsid w:val="00D7022B"/>
    <w:rsid w:val="00D713C3"/>
    <w:rsid w:val="00D71E67"/>
    <w:rsid w:val="00D72569"/>
    <w:rsid w:val="00D740F6"/>
    <w:rsid w:val="00D745F5"/>
    <w:rsid w:val="00D748D2"/>
    <w:rsid w:val="00D74A47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058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5D3D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33FD"/>
    <w:rsid w:val="00DE5A28"/>
    <w:rsid w:val="00DE66D3"/>
    <w:rsid w:val="00DE6FF1"/>
    <w:rsid w:val="00DE7A41"/>
    <w:rsid w:val="00DF0CC4"/>
    <w:rsid w:val="00DF0E2B"/>
    <w:rsid w:val="00DF11BE"/>
    <w:rsid w:val="00DF1440"/>
    <w:rsid w:val="00DF15F9"/>
    <w:rsid w:val="00DF17B5"/>
    <w:rsid w:val="00DF210A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871"/>
    <w:rsid w:val="00E03DE2"/>
    <w:rsid w:val="00E041E4"/>
    <w:rsid w:val="00E04EC4"/>
    <w:rsid w:val="00E051A8"/>
    <w:rsid w:val="00E06468"/>
    <w:rsid w:val="00E1041F"/>
    <w:rsid w:val="00E10892"/>
    <w:rsid w:val="00E12857"/>
    <w:rsid w:val="00E12CC9"/>
    <w:rsid w:val="00E12D70"/>
    <w:rsid w:val="00E14225"/>
    <w:rsid w:val="00E15529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97F"/>
    <w:rsid w:val="00E33AA2"/>
    <w:rsid w:val="00E341C7"/>
    <w:rsid w:val="00E3431A"/>
    <w:rsid w:val="00E35F49"/>
    <w:rsid w:val="00E363E6"/>
    <w:rsid w:val="00E36810"/>
    <w:rsid w:val="00E37758"/>
    <w:rsid w:val="00E37CCD"/>
    <w:rsid w:val="00E37CD1"/>
    <w:rsid w:val="00E4058E"/>
    <w:rsid w:val="00E4069D"/>
    <w:rsid w:val="00E41B7A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5141D"/>
    <w:rsid w:val="00E51530"/>
    <w:rsid w:val="00E52190"/>
    <w:rsid w:val="00E545F2"/>
    <w:rsid w:val="00E54AEE"/>
    <w:rsid w:val="00E54B8F"/>
    <w:rsid w:val="00E55C5B"/>
    <w:rsid w:val="00E56A1B"/>
    <w:rsid w:val="00E56DA0"/>
    <w:rsid w:val="00E5724C"/>
    <w:rsid w:val="00E61CEE"/>
    <w:rsid w:val="00E63BC3"/>
    <w:rsid w:val="00E63CC3"/>
    <w:rsid w:val="00E63DE2"/>
    <w:rsid w:val="00E64473"/>
    <w:rsid w:val="00E6461C"/>
    <w:rsid w:val="00E66682"/>
    <w:rsid w:val="00E66E08"/>
    <w:rsid w:val="00E70077"/>
    <w:rsid w:val="00E71B0E"/>
    <w:rsid w:val="00E71CF3"/>
    <w:rsid w:val="00E72265"/>
    <w:rsid w:val="00E72BB5"/>
    <w:rsid w:val="00E72C93"/>
    <w:rsid w:val="00E73411"/>
    <w:rsid w:val="00E73C65"/>
    <w:rsid w:val="00E75A7B"/>
    <w:rsid w:val="00E75EEF"/>
    <w:rsid w:val="00E7746F"/>
    <w:rsid w:val="00E774B5"/>
    <w:rsid w:val="00E80DA4"/>
    <w:rsid w:val="00E80FB2"/>
    <w:rsid w:val="00E812CC"/>
    <w:rsid w:val="00E8148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155"/>
    <w:rsid w:val="00E85746"/>
    <w:rsid w:val="00E85AD4"/>
    <w:rsid w:val="00E90C2B"/>
    <w:rsid w:val="00E91BE7"/>
    <w:rsid w:val="00E91F09"/>
    <w:rsid w:val="00E92330"/>
    <w:rsid w:val="00E927FC"/>
    <w:rsid w:val="00E939BC"/>
    <w:rsid w:val="00E942FF"/>
    <w:rsid w:val="00E9445B"/>
    <w:rsid w:val="00E94E1B"/>
    <w:rsid w:val="00E95F6D"/>
    <w:rsid w:val="00E96984"/>
    <w:rsid w:val="00E96AF7"/>
    <w:rsid w:val="00E96FF6"/>
    <w:rsid w:val="00EA013E"/>
    <w:rsid w:val="00EA01FA"/>
    <w:rsid w:val="00EA17E4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2D3"/>
    <w:rsid w:val="00EB57C1"/>
    <w:rsid w:val="00EB5B7F"/>
    <w:rsid w:val="00EB5E80"/>
    <w:rsid w:val="00EB66C3"/>
    <w:rsid w:val="00EB6CD4"/>
    <w:rsid w:val="00EB755B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C74C2"/>
    <w:rsid w:val="00ED3E95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1F19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740E"/>
    <w:rsid w:val="00F00225"/>
    <w:rsid w:val="00F009FD"/>
    <w:rsid w:val="00F010F3"/>
    <w:rsid w:val="00F03042"/>
    <w:rsid w:val="00F037F5"/>
    <w:rsid w:val="00F04DCF"/>
    <w:rsid w:val="00F04F9A"/>
    <w:rsid w:val="00F06EA2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2749"/>
    <w:rsid w:val="00F3347D"/>
    <w:rsid w:val="00F3383F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8A4"/>
    <w:rsid w:val="00F42BEC"/>
    <w:rsid w:val="00F45983"/>
    <w:rsid w:val="00F45CFD"/>
    <w:rsid w:val="00F46904"/>
    <w:rsid w:val="00F505F9"/>
    <w:rsid w:val="00F50672"/>
    <w:rsid w:val="00F52E2B"/>
    <w:rsid w:val="00F5312D"/>
    <w:rsid w:val="00F5384B"/>
    <w:rsid w:val="00F54D4F"/>
    <w:rsid w:val="00F55627"/>
    <w:rsid w:val="00F560D2"/>
    <w:rsid w:val="00F56EB8"/>
    <w:rsid w:val="00F57AE6"/>
    <w:rsid w:val="00F6065D"/>
    <w:rsid w:val="00F618B4"/>
    <w:rsid w:val="00F62FD0"/>
    <w:rsid w:val="00F63B6A"/>
    <w:rsid w:val="00F6493F"/>
    <w:rsid w:val="00F66664"/>
    <w:rsid w:val="00F669C5"/>
    <w:rsid w:val="00F66D25"/>
    <w:rsid w:val="00F67151"/>
    <w:rsid w:val="00F67AEA"/>
    <w:rsid w:val="00F708DA"/>
    <w:rsid w:val="00F720AE"/>
    <w:rsid w:val="00F725E6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20"/>
    <w:rsid w:val="00F808DA"/>
    <w:rsid w:val="00F81543"/>
    <w:rsid w:val="00F81BA6"/>
    <w:rsid w:val="00F82E3A"/>
    <w:rsid w:val="00F8392A"/>
    <w:rsid w:val="00F83BB4"/>
    <w:rsid w:val="00F84FF8"/>
    <w:rsid w:val="00F8517D"/>
    <w:rsid w:val="00F90665"/>
    <w:rsid w:val="00F9169E"/>
    <w:rsid w:val="00F91B54"/>
    <w:rsid w:val="00F9281F"/>
    <w:rsid w:val="00F92A0D"/>
    <w:rsid w:val="00F93E54"/>
    <w:rsid w:val="00F945EB"/>
    <w:rsid w:val="00F94D68"/>
    <w:rsid w:val="00F95A81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1C13"/>
    <w:rsid w:val="00FB29AE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49B8"/>
    <w:rsid w:val="00FC6563"/>
    <w:rsid w:val="00FC726E"/>
    <w:rsid w:val="00FD002F"/>
    <w:rsid w:val="00FD047E"/>
    <w:rsid w:val="00FD06FE"/>
    <w:rsid w:val="00FD0D2B"/>
    <w:rsid w:val="00FD0E7E"/>
    <w:rsid w:val="00FD16E2"/>
    <w:rsid w:val="00FD1A2F"/>
    <w:rsid w:val="00FD1FFE"/>
    <w:rsid w:val="00FD23F4"/>
    <w:rsid w:val="00FD25D7"/>
    <w:rsid w:val="00FD2852"/>
    <w:rsid w:val="00FD3EF1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7F57C6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8bbba48b-ed70-4d4f-bc70-b74f508f6d15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01ee88d-fb52-43da-8c07-06909c2ee99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ACA631-4B88-42A6-A2A8-0EA612AEC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Spanien feiert 20-jähriges Jubiläum</vt:lpstr>
    </vt:vector>
  </TitlesOfParts>
  <Company>Klug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Spanien feiert 20-jähriges Jubiläum</dc:title>
  <dc:subject/>
  <dc:creator>Tahedl Alexander</dc:creator>
  <cp:keywords>TGW Spanien feiert 20-jähriges Jubiläum</cp:keywords>
  <dc:description/>
  <cp:lastModifiedBy>Tahedl Alexander</cp:lastModifiedBy>
  <cp:revision>506</cp:revision>
  <cp:lastPrinted>2022-02-02T15:07:00Z</cp:lastPrinted>
  <dcterms:created xsi:type="dcterms:W3CDTF">2022-12-14T09:12:00Z</dcterms:created>
  <dcterms:modified xsi:type="dcterms:W3CDTF">2023-10-24T04:11:00Z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