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0844D" w14:textId="77777777" w:rsidR="009E1F97" w:rsidRPr="00703CC3" w:rsidRDefault="009E1F97"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 w:val="32"/>
          <w:szCs w:val="20"/>
          <w:lang w:eastAsia="en-GB"/>
        </w:rPr>
      </w:pPr>
      <w:r>
        <w:rPr>
          <w:rFonts w:eastAsia="Times New Roman" w:cs="Arial"/>
          <w:b/>
          <w:color w:val="222222"/>
          <w:sz w:val="32"/>
          <w:szCs w:val="20"/>
        </w:rPr>
        <w:t>TVH investiert in ein neues, automatisiertes, Shuttle-basiertes Distributionszentrum von TGW</w:t>
      </w:r>
    </w:p>
    <w:p w14:paraId="76B55485" w14:textId="33CC6C98" w:rsidR="009E1F97" w:rsidRPr="00703CC3" w:rsidRDefault="009E1F97"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eastAsia="en-GB"/>
        </w:rPr>
      </w:pPr>
      <w:r>
        <w:rPr>
          <w:rFonts w:eastAsia="Times New Roman" w:cs="Arial"/>
          <w:b/>
          <w:color w:val="222222"/>
          <w:szCs w:val="20"/>
        </w:rPr>
        <w:t>Immer mehr Aufträge und fehlende Lagerflächen waren für TVH zwingende Gründe, zur Erweiterung des bestehenden Verteilzentrums mit TGW zusammenzuarbeiten.</w:t>
      </w:r>
    </w:p>
    <w:p w14:paraId="19E7DD64" w14:textId="2BA713C3" w:rsidR="009E1F97" w:rsidRPr="00F67890" w:rsidRDefault="009E1F97" w:rsidP="009F0E5F">
      <w:pPr>
        <w:spacing w:before="120" w:after="240"/>
        <w:ind w:right="1837"/>
        <w:rPr>
          <w:rFonts w:eastAsia="Times New Roman" w:cs="Arial"/>
          <w:color w:val="222222"/>
          <w:szCs w:val="20"/>
          <w:lang w:eastAsia="en-GB"/>
        </w:rPr>
      </w:pPr>
      <w:r>
        <w:rPr>
          <w:rFonts w:eastAsia="Times New Roman" w:cs="Arial"/>
          <w:color w:val="222222"/>
          <w:szCs w:val="20"/>
        </w:rPr>
        <w:t xml:space="preserve">Die TVH Corporation ist ein Familienunternehmen mit Sitz in Waregem, Belgien, und vertreibt Teile für Stapler und Flurförderzeuge </w:t>
      </w:r>
      <w:r w:rsidR="00703CC3">
        <w:rPr>
          <w:rFonts w:eastAsia="Times New Roman" w:cs="Arial"/>
          <w:color w:val="222222"/>
          <w:szCs w:val="20"/>
        </w:rPr>
        <w:t>auf</w:t>
      </w:r>
      <w:r>
        <w:rPr>
          <w:rFonts w:eastAsia="Times New Roman" w:cs="Arial"/>
          <w:color w:val="222222"/>
          <w:szCs w:val="20"/>
        </w:rPr>
        <w:t xml:space="preserve"> der ganzen Welt. Als weltweit größter One-Stop-Shop stellt das Unternehmen sicher, dass Waren in kürzest</w:t>
      </w:r>
      <w:r w:rsidR="00F67890">
        <w:rPr>
          <w:rFonts w:eastAsia="Times New Roman" w:cs="Arial"/>
          <w:color w:val="222222"/>
          <w:szCs w:val="20"/>
        </w:rPr>
        <w:t xml:space="preserve"> </w:t>
      </w:r>
      <w:r>
        <w:rPr>
          <w:rFonts w:eastAsia="Times New Roman" w:cs="Arial"/>
          <w:color w:val="222222"/>
          <w:szCs w:val="20"/>
        </w:rPr>
        <w:t xml:space="preserve">möglicher Zeit zu </w:t>
      </w:r>
      <w:r w:rsidR="00703CC3">
        <w:rPr>
          <w:rFonts w:eastAsia="Times New Roman" w:cs="Arial"/>
          <w:color w:val="222222"/>
          <w:szCs w:val="20"/>
        </w:rPr>
        <w:t>den Kunden</w:t>
      </w:r>
      <w:r>
        <w:rPr>
          <w:rFonts w:eastAsia="Times New Roman" w:cs="Arial"/>
          <w:color w:val="222222"/>
          <w:szCs w:val="20"/>
        </w:rPr>
        <w:t xml:space="preserve"> nach Hause geliefert werden. </w:t>
      </w:r>
    </w:p>
    <w:p w14:paraId="6F251174" w14:textId="1BD947E1" w:rsidR="009E1F97" w:rsidRPr="00703CC3" w:rsidRDefault="009E1F97" w:rsidP="009F0E5F">
      <w:pPr>
        <w:spacing w:before="120" w:after="240"/>
        <w:ind w:right="1837"/>
        <w:rPr>
          <w:rFonts w:eastAsia="Times New Roman" w:cs="Arial"/>
          <w:color w:val="222222"/>
          <w:szCs w:val="20"/>
          <w:lang w:eastAsia="en-GB"/>
        </w:rPr>
      </w:pPr>
      <w:r>
        <w:rPr>
          <w:rFonts w:cs="Arial"/>
          <w:color w:val="222222"/>
          <w:szCs w:val="20"/>
        </w:rPr>
        <w:t xml:space="preserve">Im Jahr 2014 bearbeiteten 540 Mitarbeiter in der bestehenden Anlage in Waregem 8.000 Aufträge täglich. Die Anzahl gelagerter Artikel erreichte 500.000. </w:t>
      </w:r>
      <w:r>
        <w:rPr>
          <w:rFonts w:eastAsia="Times New Roman" w:cs="Arial"/>
          <w:color w:val="222222"/>
          <w:szCs w:val="20"/>
        </w:rPr>
        <w:t xml:space="preserve">Aufgrund der wachsenden Auftragsumfänge, der gestiegenen Anzahl gelagerter Artikel und um sicherzustellen, dass die künftige Nachfrage erfüllt und das Wachstum fortgesetzt werden kann, baut TVH ein 12.000 Quadratmeter großes automatisiertes Distributionszentrum für Auftragskommissionierung, -verpackung und -versand. Das neue Distributionszentrum soll den Kundenservice von TVH durch ein erweitertes Sortiment verbessern und den Durchsatz steigern, um so die Marktposition </w:t>
      </w:r>
      <w:r w:rsidR="00703CC3">
        <w:rPr>
          <w:rFonts w:eastAsia="Times New Roman" w:cs="Arial"/>
          <w:color w:val="222222"/>
          <w:szCs w:val="20"/>
        </w:rPr>
        <w:t>des Unternehmens</w:t>
      </w:r>
      <w:r>
        <w:rPr>
          <w:rFonts w:eastAsia="Times New Roman" w:cs="Arial"/>
          <w:color w:val="222222"/>
          <w:szCs w:val="20"/>
        </w:rPr>
        <w:t xml:space="preserve"> zu festigen. Das neue Distributionszentrum ist eine Ergänzung zur bestehenden Anlage, die Teil des Gesamtbetriebs bleiben wird; die beiden Anlagen werden über eine Brückenkonstruktion miteinander verbunden. </w:t>
      </w:r>
    </w:p>
    <w:p w14:paraId="7C1B7DF5" w14:textId="5509A2B1" w:rsidR="009E1F97" w:rsidRPr="00703CC3" w:rsidRDefault="009E1F97" w:rsidP="009F0E5F">
      <w:pPr>
        <w:spacing w:before="120" w:after="240"/>
        <w:ind w:right="1837"/>
        <w:rPr>
          <w:rFonts w:eastAsia="Times New Roman" w:cs="Arial"/>
          <w:color w:val="222222"/>
          <w:szCs w:val="20"/>
          <w:lang w:eastAsia="en-GB"/>
        </w:rPr>
      </w:pPr>
      <w:r>
        <w:rPr>
          <w:rFonts w:eastAsia="Times New Roman" w:cs="Arial"/>
          <w:color w:val="222222"/>
          <w:szCs w:val="20"/>
        </w:rPr>
        <w:t>TGW wurde als TVH-Automatisierungspar</w:t>
      </w:r>
      <w:r w:rsidR="00703CC3">
        <w:rPr>
          <w:rFonts w:eastAsia="Times New Roman" w:cs="Arial"/>
          <w:color w:val="222222"/>
          <w:szCs w:val="20"/>
        </w:rPr>
        <w:t xml:space="preserve">tner ausgewählt und wird ein </w:t>
      </w:r>
      <w:r>
        <w:rPr>
          <w:rFonts w:eastAsia="Times New Roman" w:cs="Arial"/>
          <w:color w:val="222222"/>
          <w:szCs w:val="20"/>
        </w:rPr>
        <w:t xml:space="preserve">Shuttle-System zur Lagerung von Kunststoffbehältern integrieren. Das gesamte STINGRAY Shuttle-System wird 13 Gassen und 50 Ebenen umfassen. TVH wird in dem 25 Meter hohen Shuttle-Block mehr als 400.000 Behälter lagern können. </w:t>
      </w:r>
    </w:p>
    <w:p w14:paraId="45BC12B8" w14:textId="67D83B75" w:rsidR="009E1F97" w:rsidRPr="00703CC3" w:rsidRDefault="009E1F97" w:rsidP="009F0E5F">
      <w:pPr>
        <w:spacing w:before="120" w:after="240"/>
        <w:ind w:right="1837"/>
        <w:rPr>
          <w:rFonts w:eastAsia="Times New Roman" w:cs="Arial"/>
          <w:color w:val="222222"/>
          <w:szCs w:val="20"/>
          <w:lang w:eastAsia="en-GB"/>
        </w:rPr>
      </w:pPr>
      <w:r>
        <w:rPr>
          <w:rFonts w:eastAsia="Times New Roman" w:cs="Arial"/>
          <w:color w:val="222222"/>
          <w:szCs w:val="20"/>
        </w:rPr>
        <w:t>Diese "</w:t>
      </w:r>
      <w:proofErr w:type="spellStart"/>
      <w:r>
        <w:rPr>
          <w:rFonts w:eastAsia="Times New Roman" w:cs="Arial"/>
          <w:color w:val="222222"/>
          <w:szCs w:val="20"/>
        </w:rPr>
        <w:t>Kommissioniermaschine</w:t>
      </w:r>
      <w:proofErr w:type="spellEnd"/>
      <w:r>
        <w:rPr>
          <w:rFonts w:eastAsia="Times New Roman" w:cs="Arial"/>
          <w:color w:val="222222"/>
          <w:szCs w:val="20"/>
        </w:rPr>
        <w:t>" wird die Lagerbehälter an den Ware-zu-Person-Kommissionierplätzen andienen. Ein Netz aus TGW KingDrive</w:t>
      </w:r>
      <w:r>
        <w:rPr>
          <w:rFonts w:eastAsia="Times New Roman" w:cs="Arial"/>
          <w:color w:val="222222"/>
          <w:szCs w:val="20"/>
          <w:vertAlign w:val="superscript"/>
        </w:rPr>
        <w:t>®</w:t>
      </w:r>
      <w:r>
        <w:rPr>
          <w:rFonts w:eastAsia="Times New Roman" w:cs="Arial"/>
          <w:color w:val="222222"/>
          <w:szCs w:val="20"/>
        </w:rPr>
        <w:t xml:space="preserve">-Förderern wird alle Lager- und Betriebsbereiche miteinander verbinden. TGW Natrix-Sorter sind ebenfalls Bestandteil dieses </w:t>
      </w:r>
      <w:r w:rsidR="00703CC3">
        <w:rPr>
          <w:rFonts w:eastAsia="Times New Roman" w:cs="Arial"/>
          <w:color w:val="222222"/>
          <w:szCs w:val="20"/>
        </w:rPr>
        <w:t>Fördernetzwerkes</w:t>
      </w:r>
      <w:bookmarkStart w:id="0" w:name="_GoBack"/>
      <w:bookmarkEnd w:id="0"/>
      <w:r>
        <w:rPr>
          <w:rFonts w:eastAsia="Times New Roman" w:cs="Arial"/>
          <w:color w:val="222222"/>
          <w:szCs w:val="20"/>
        </w:rPr>
        <w:t xml:space="preserve">. Das neue Distributionszentrum wird 2019 in Betrieb gehen. </w:t>
      </w:r>
    </w:p>
    <w:p w14:paraId="5B26FA47" w14:textId="77777777" w:rsidR="009E1F97" w:rsidRPr="00454A8C" w:rsidRDefault="009E1F97" w:rsidP="009F0E5F">
      <w:pPr>
        <w:spacing w:before="120" w:after="240"/>
        <w:ind w:right="1837"/>
        <w:rPr>
          <w:rFonts w:asciiTheme="minorHAnsi" w:eastAsia="Times New Roman" w:hAnsiTheme="minorHAnsi"/>
          <w:color w:val="222222"/>
          <w:szCs w:val="20"/>
          <w:lang w:val="en-GB" w:eastAsia="en-GB"/>
        </w:rPr>
      </w:pPr>
      <w:r w:rsidRPr="00454A8C">
        <w:rPr>
          <w:rFonts w:asciiTheme="minorHAnsi" w:eastAsia="Times New Roman" w:hAnsiTheme="minorHAnsi"/>
          <w:noProof/>
          <w:color w:val="222222"/>
          <w:szCs w:val="20"/>
        </w:rPr>
        <w:lastRenderedPageBreak/>
        <w:drawing>
          <wp:inline distT="0" distB="0" distL="0" distR="0" wp14:anchorId="015C630B" wp14:editId="7218434A">
            <wp:extent cx="6078931" cy="4313531"/>
            <wp:effectExtent l="0" t="0" r="0" b="0"/>
            <wp:docPr id="1946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 name="Grafik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144" cy="4315101"/>
                    </a:xfrm>
                    <a:prstGeom prst="rect">
                      <a:avLst/>
                    </a:prstGeom>
                    <a:noFill/>
                    <a:ln>
                      <a:noFill/>
                    </a:ln>
                    <a:extLst/>
                  </pic:spPr>
                </pic:pic>
              </a:graphicData>
            </a:graphic>
          </wp:inline>
        </w:drawing>
      </w:r>
    </w:p>
    <w:p w14:paraId="27389769" w14:textId="29DF4DB8" w:rsidR="00697486" w:rsidRPr="00454A8C" w:rsidRDefault="00697486" w:rsidP="009F0E5F">
      <w:pPr>
        <w:spacing w:before="120" w:after="240"/>
        <w:ind w:right="1837"/>
        <w:rPr>
          <w:rStyle w:val="Fett"/>
          <w:b w:val="0"/>
          <w:bCs/>
          <w:lang w:val="en-GB"/>
        </w:rPr>
      </w:pPr>
      <w:r w:rsidRPr="00703CC3">
        <w:rPr>
          <w:rStyle w:val="Fett"/>
          <w:b w:val="0"/>
          <w:lang w:val="en-GB"/>
        </w:rPr>
        <w:t xml:space="preserve"> </w:t>
      </w:r>
    </w:p>
    <w:p w14:paraId="0254CE4B" w14:textId="77777777" w:rsidR="009E1F97" w:rsidRPr="00454A8C" w:rsidRDefault="009E1F97" w:rsidP="009F0E5F">
      <w:pPr>
        <w:spacing w:before="120" w:after="240"/>
        <w:ind w:right="1837"/>
        <w:rPr>
          <w:lang w:val="en-GB"/>
        </w:rPr>
      </w:pPr>
    </w:p>
    <w:p w14:paraId="6DB08FD2" w14:textId="77777777" w:rsidR="00697486" w:rsidRPr="00454A8C" w:rsidRDefault="00703CC3" w:rsidP="009F0E5F">
      <w:pPr>
        <w:spacing w:before="120" w:after="240"/>
        <w:ind w:right="1837"/>
        <w:rPr>
          <w:lang w:val="en-GB"/>
        </w:rPr>
      </w:pPr>
      <w:hyperlink r:id="rId9" w:history="1">
        <w:r w:rsidR="00454A8C" w:rsidRPr="00703CC3">
          <w:rPr>
            <w:rStyle w:val="Hyperlink"/>
            <w:lang w:val="en-GB"/>
          </w:rPr>
          <w:t>www.tgw-group.com</w:t>
        </w:r>
      </w:hyperlink>
    </w:p>
    <w:p w14:paraId="2936578C" w14:textId="77777777" w:rsidR="009F0E5F" w:rsidRPr="00454A8C" w:rsidRDefault="009F0E5F" w:rsidP="009F0E5F">
      <w:pPr>
        <w:spacing w:before="120" w:after="240"/>
        <w:ind w:right="1837"/>
        <w:rPr>
          <w:b/>
          <w:bCs/>
          <w:lang w:val="en-GB"/>
        </w:rPr>
      </w:pPr>
    </w:p>
    <w:p w14:paraId="62D8C46D" w14:textId="77777777" w:rsidR="009F0E5F" w:rsidRPr="00454A8C" w:rsidRDefault="009F0E5F" w:rsidP="009F0E5F">
      <w:pPr>
        <w:spacing w:before="240" w:after="120"/>
        <w:ind w:right="1837"/>
        <w:rPr>
          <w:b/>
          <w:lang w:val="en-GB"/>
        </w:rPr>
      </w:pPr>
      <w:proofErr w:type="spellStart"/>
      <w:r w:rsidRPr="00703CC3">
        <w:rPr>
          <w:b/>
          <w:lang w:val="en-GB"/>
        </w:rPr>
        <w:t>Über</w:t>
      </w:r>
      <w:proofErr w:type="spellEnd"/>
      <w:r w:rsidRPr="00703CC3">
        <w:rPr>
          <w:b/>
          <w:lang w:val="en-GB"/>
        </w:rPr>
        <w:t xml:space="preserve"> die TGW Logistics Group:</w:t>
      </w:r>
    </w:p>
    <w:p w14:paraId="30F485D4" w14:textId="77777777" w:rsidR="009F0E5F" w:rsidRPr="00703CC3" w:rsidRDefault="009F0E5F" w:rsidP="009F0E5F">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2FBEF600" w14:textId="77777777" w:rsidR="009F0E5F" w:rsidRPr="00703CC3" w:rsidRDefault="009F0E5F" w:rsidP="009F0E5F">
      <w:pPr>
        <w:spacing w:before="240" w:after="120"/>
        <w:ind w:right="1837"/>
      </w:pPr>
      <w:r>
        <w:t>Mit rund 2.500 Mitarbeitern weltweit realisiert die Gruppe Logistiklösungen für führende Unternehmen in verschiedensten Branchen. Dadurch erzielte die TGW Logistics Group im Wirtschaftsjahr 2014/15 Umsatzerlöse von € 475 Mio.</w:t>
      </w:r>
    </w:p>
    <w:p w14:paraId="4BF02BA0" w14:textId="77777777" w:rsidR="009F0E5F" w:rsidRPr="00703CC3" w:rsidRDefault="009F0E5F" w:rsidP="009F0E5F">
      <w:pPr>
        <w:spacing w:before="240" w:after="120"/>
        <w:ind w:right="1837"/>
        <w:rPr>
          <w:b/>
        </w:rPr>
      </w:pPr>
      <w:r>
        <w:rPr>
          <w:b/>
        </w:rPr>
        <w:lastRenderedPageBreak/>
        <w:t>Bilder:</w:t>
      </w:r>
    </w:p>
    <w:p w14:paraId="57C679DB" w14:textId="77777777" w:rsidR="009F0E5F" w:rsidRPr="00703CC3" w:rsidRDefault="009F0E5F" w:rsidP="009F0E5F">
      <w:pPr>
        <w:spacing w:before="240" w:after="120"/>
        <w:ind w:right="1837"/>
      </w:pPr>
      <w:r>
        <w:t>Abdruck mit Quellangabe und zu Presseberichten, die sich vorwiegend mit der TGW Logistics Group GmbH befassen, honorarfrei. Kein honorarfreier Abdruck für werbliche Zwecke.</w:t>
      </w:r>
    </w:p>
    <w:p w14:paraId="7E1C39BF" w14:textId="77777777" w:rsidR="009F0E5F" w:rsidRPr="00703CC3" w:rsidRDefault="009F0E5F" w:rsidP="009F0E5F">
      <w:pPr>
        <w:spacing w:before="240" w:after="120"/>
        <w:ind w:right="1837"/>
      </w:pPr>
    </w:p>
    <w:p w14:paraId="1BE04528" w14:textId="77777777" w:rsidR="009F0E5F" w:rsidRPr="00703CC3" w:rsidRDefault="009F0E5F" w:rsidP="009F0E5F">
      <w:pPr>
        <w:spacing w:line="240" w:lineRule="auto"/>
        <w:ind w:right="418"/>
        <w:rPr>
          <w:b/>
        </w:rPr>
      </w:pPr>
      <w:r>
        <w:rPr>
          <w:b/>
        </w:rPr>
        <w:t>Kontakt:</w:t>
      </w:r>
    </w:p>
    <w:p w14:paraId="05C9D13F" w14:textId="77777777" w:rsidR="009F0E5F" w:rsidRPr="00703CC3" w:rsidRDefault="009F0E5F" w:rsidP="009F0E5F">
      <w:pPr>
        <w:spacing w:line="240" w:lineRule="auto"/>
        <w:ind w:right="418"/>
      </w:pPr>
      <w:r>
        <w:t xml:space="preserve">TGW </w:t>
      </w:r>
      <w:proofErr w:type="spellStart"/>
      <w:r>
        <w:t>Logistics</w:t>
      </w:r>
      <w:proofErr w:type="spellEnd"/>
      <w:r>
        <w:t xml:space="preserve"> Group GmbH</w:t>
      </w:r>
    </w:p>
    <w:p w14:paraId="2A6D1CD4" w14:textId="77777777" w:rsidR="009F0E5F" w:rsidRPr="00703CC3" w:rsidRDefault="009F0E5F" w:rsidP="009F0E5F">
      <w:pPr>
        <w:spacing w:line="240" w:lineRule="auto"/>
        <w:ind w:right="418"/>
      </w:pPr>
      <w:r>
        <w:t xml:space="preserve">A-4600 Wels, </w:t>
      </w:r>
      <w:proofErr w:type="spellStart"/>
      <w:r>
        <w:t>Collmannstraße</w:t>
      </w:r>
      <w:proofErr w:type="spellEnd"/>
      <w:r>
        <w:t xml:space="preserve"> 2</w:t>
      </w:r>
    </w:p>
    <w:p w14:paraId="36F7BAAC" w14:textId="77777777" w:rsidR="009F0E5F" w:rsidRPr="00703CC3" w:rsidRDefault="009F0E5F" w:rsidP="009F0E5F">
      <w:pPr>
        <w:spacing w:line="240" w:lineRule="auto"/>
        <w:ind w:right="418"/>
      </w:pPr>
      <w:r>
        <w:t>T: +43.(0)7242.486-0</w:t>
      </w:r>
    </w:p>
    <w:p w14:paraId="58C1212A" w14:textId="77777777" w:rsidR="009F0E5F" w:rsidRPr="00703CC3" w:rsidRDefault="009F0E5F" w:rsidP="009F0E5F">
      <w:pPr>
        <w:spacing w:line="240" w:lineRule="auto"/>
        <w:ind w:right="418"/>
      </w:pPr>
      <w:r>
        <w:t>F: +43.(0)7242.486-31</w:t>
      </w:r>
    </w:p>
    <w:p w14:paraId="04222972" w14:textId="77777777" w:rsidR="009F0E5F" w:rsidRPr="00703CC3" w:rsidRDefault="009F0E5F" w:rsidP="009F0E5F">
      <w:pPr>
        <w:spacing w:line="240" w:lineRule="auto"/>
        <w:ind w:right="418"/>
      </w:pPr>
      <w:r>
        <w:t>E-Mail: tgw@tgw-group.com</w:t>
      </w:r>
    </w:p>
    <w:p w14:paraId="2D9C9E15" w14:textId="77777777" w:rsidR="009F0E5F" w:rsidRPr="00703CC3" w:rsidRDefault="009F0E5F" w:rsidP="009F0E5F">
      <w:pPr>
        <w:spacing w:line="240" w:lineRule="auto"/>
        <w:ind w:right="418"/>
      </w:pPr>
    </w:p>
    <w:p w14:paraId="6C6950C9" w14:textId="77777777" w:rsidR="009F0E5F" w:rsidRPr="00703CC3" w:rsidRDefault="009F0E5F" w:rsidP="009F0E5F">
      <w:pPr>
        <w:spacing w:line="240" w:lineRule="auto"/>
        <w:ind w:right="418"/>
        <w:rPr>
          <w:b/>
        </w:rPr>
      </w:pPr>
      <w:r>
        <w:rPr>
          <w:b/>
        </w:rPr>
        <w:t>Pressekontakt:</w:t>
      </w:r>
    </w:p>
    <w:p w14:paraId="1F4D21F6" w14:textId="77777777" w:rsidR="009F0E5F" w:rsidRPr="00703CC3" w:rsidRDefault="009F0E5F" w:rsidP="009F0E5F">
      <w:pPr>
        <w:spacing w:line="240" w:lineRule="auto"/>
        <w:ind w:right="418"/>
      </w:pPr>
      <w:r>
        <w:t>Martin Kirchmayr</w:t>
      </w:r>
      <w:r>
        <w:tab/>
      </w:r>
      <w:r>
        <w:tab/>
      </w:r>
      <w:r>
        <w:tab/>
      </w:r>
      <w:r>
        <w:tab/>
        <w:t xml:space="preserve">     Daniela Nowak</w:t>
      </w:r>
    </w:p>
    <w:p w14:paraId="6D1CA644" w14:textId="77777777" w:rsidR="009F0E5F" w:rsidRPr="00454A8C" w:rsidRDefault="009F0E5F" w:rsidP="009F0E5F">
      <w:pPr>
        <w:spacing w:line="240" w:lineRule="auto"/>
        <w:ind w:right="418"/>
        <w:rPr>
          <w:lang w:val="en-GB"/>
        </w:rPr>
      </w:pPr>
      <w:r w:rsidRPr="00703CC3">
        <w:rPr>
          <w:lang w:val="en-GB"/>
        </w:rPr>
        <w:t>Marketing &amp; Communication Manager</w:t>
      </w:r>
      <w:r w:rsidRPr="00703CC3">
        <w:rPr>
          <w:lang w:val="en-GB"/>
        </w:rPr>
        <w:tab/>
      </w:r>
      <w:r w:rsidRPr="00703CC3">
        <w:rPr>
          <w:lang w:val="en-GB"/>
        </w:rPr>
        <w:tab/>
        <w:t>Marketing &amp; Communication Specialist</w:t>
      </w:r>
    </w:p>
    <w:p w14:paraId="7F237EFA" w14:textId="77777777" w:rsidR="009F0E5F" w:rsidRPr="00454A8C" w:rsidRDefault="009F0E5F" w:rsidP="009F0E5F">
      <w:pPr>
        <w:spacing w:line="240" w:lineRule="auto"/>
        <w:ind w:right="418"/>
        <w:rPr>
          <w:lang w:val="en-GB"/>
        </w:rPr>
      </w:pPr>
      <w:r>
        <w:t>T: +43.(0)7242.486-1382</w:t>
      </w:r>
      <w:r>
        <w:tab/>
      </w:r>
      <w:r>
        <w:tab/>
      </w:r>
      <w:r>
        <w:tab/>
        <w:t>T: +43.(0)7242.486-1059</w:t>
      </w:r>
    </w:p>
    <w:p w14:paraId="0FCB3BD4" w14:textId="77777777" w:rsidR="009F0E5F" w:rsidRPr="00454A8C" w:rsidRDefault="009F0E5F" w:rsidP="009F0E5F">
      <w:pPr>
        <w:spacing w:line="240" w:lineRule="auto"/>
        <w:ind w:right="418"/>
        <w:rPr>
          <w:lang w:val="en-GB"/>
        </w:rPr>
      </w:pPr>
      <w:r>
        <w:t>M: +43.(0)664.8187423</w:t>
      </w:r>
    </w:p>
    <w:p w14:paraId="02C2E300" w14:textId="77777777" w:rsidR="009F0E5F" w:rsidRPr="00454A8C" w:rsidRDefault="009F0E5F" w:rsidP="009F0E5F">
      <w:pPr>
        <w:spacing w:line="240" w:lineRule="auto"/>
        <w:ind w:right="418"/>
        <w:rPr>
          <w:lang w:val="en-GB"/>
        </w:rPr>
      </w:pPr>
      <w:r>
        <w:t>martin.kirchmayr@tgw-group.com</w:t>
      </w:r>
      <w:r>
        <w:tab/>
      </w:r>
      <w:r>
        <w:tab/>
        <w:t>daniela.nowak@tgw-group.com</w:t>
      </w:r>
    </w:p>
    <w:p w14:paraId="098B2635" w14:textId="77777777" w:rsidR="009F0E5F" w:rsidRPr="00454A8C" w:rsidRDefault="009F0E5F" w:rsidP="009F0E5F">
      <w:pPr>
        <w:spacing w:line="240" w:lineRule="auto"/>
        <w:ind w:right="1837"/>
        <w:rPr>
          <w:lang w:val="en-GB"/>
        </w:rPr>
      </w:pPr>
    </w:p>
    <w:p w14:paraId="3A45835E" w14:textId="77777777" w:rsidR="009F0E5F" w:rsidRPr="00454A8C" w:rsidRDefault="009F0E5F" w:rsidP="009F0E5F">
      <w:pPr>
        <w:pStyle w:val="StandardWeb"/>
        <w:shd w:val="clear" w:color="auto" w:fill="FFFFFF"/>
        <w:spacing w:before="120" w:beforeAutospacing="0" w:after="240" w:afterAutospacing="0" w:line="360" w:lineRule="auto"/>
        <w:rPr>
          <w:sz w:val="20"/>
          <w:szCs w:val="22"/>
          <w:lang w:val="en-GB"/>
        </w:rPr>
      </w:pPr>
    </w:p>
    <w:p w14:paraId="2A6DB210" w14:textId="77777777" w:rsidR="00FE44DF" w:rsidRPr="00454A8C" w:rsidRDefault="00FE44DF" w:rsidP="009F0E5F">
      <w:pPr>
        <w:spacing w:before="120" w:after="240"/>
        <w:ind w:right="1837"/>
        <w:rPr>
          <w:lang w:val="en-GB"/>
        </w:rPr>
      </w:pPr>
    </w:p>
    <w:sectPr w:rsidR="00FE44DF" w:rsidRPr="00454A8C"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12B1F" w14:textId="77777777" w:rsidR="00D11932" w:rsidRDefault="00D11932" w:rsidP="00764006">
      <w:pPr>
        <w:spacing w:line="240" w:lineRule="auto"/>
      </w:pPr>
      <w:r>
        <w:separator/>
      </w:r>
    </w:p>
  </w:endnote>
  <w:endnote w:type="continuationSeparator" w:id="0">
    <w:p w14:paraId="0A918A63" w14:textId="77777777" w:rsidR="00D11932" w:rsidRDefault="00D1193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altName w:val="Didot"/>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14:paraId="01AEA15B" w14:textId="77777777" w:rsidTr="00C15D91">
      <w:tc>
        <w:tcPr>
          <w:tcW w:w="6474" w:type="dxa"/>
        </w:tcPr>
        <w:p w14:paraId="4D9E62B9" w14:textId="77777777" w:rsidR="00D11932" w:rsidRPr="00252CD7" w:rsidRDefault="00D1193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03E4074" w14:textId="77777777" w:rsidR="00D11932" w:rsidRPr="00252CD7" w:rsidRDefault="00D11932" w:rsidP="007D0E42">
          <w:pPr>
            <w:pStyle w:val="Fuzeile"/>
            <w:rPr>
              <w:sz w:val="16"/>
            </w:rPr>
          </w:pPr>
        </w:p>
      </w:tc>
      <w:tc>
        <w:tcPr>
          <w:tcW w:w="283" w:type="dxa"/>
          <w:tcBorders>
            <w:left w:val="single" w:sz="12" w:space="0" w:color="C00418" w:themeColor="accent1"/>
          </w:tcBorders>
        </w:tcPr>
        <w:p w14:paraId="7F3B7588" w14:textId="77777777" w:rsidR="00D11932" w:rsidRPr="00252CD7" w:rsidRDefault="00D11932" w:rsidP="007D0E42">
          <w:pPr>
            <w:pStyle w:val="Fuzeile"/>
            <w:rPr>
              <w:sz w:val="16"/>
            </w:rPr>
          </w:pPr>
        </w:p>
      </w:tc>
      <w:tc>
        <w:tcPr>
          <w:tcW w:w="2438" w:type="dxa"/>
          <w:vAlign w:val="center"/>
        </w:tcPr>
        <w:p w14:paraId="2718E8FB" w14:textId="77777777" w:rsidR="00D11932" w:rsidRPr="00252CD7" w:rsidRDefault="00D11932" w:rsidP="00252CD7">
          <w:pPr>
            <w:pStyle w:val="FuzeileFirmendaten"/>
            <w:rPr>
              <w:sz w:val="16"/>
            </w:rPr>
          </w:pPr>
          <w:r>
            <w:fldChar w:fldCharType="begin"/>
          </w:r>
          <w:r>
            <w:instrText xml:space="preserve"> PAGE   \* MERGEFORMAT </w:instrText>
          </w:r>
          <w:r>
            <w:fldChar w:fldCharType="separate"/>
          </w:r>
          <w:r w:rsidR="00703CC3" w:rsidRPr="00703CC3">
            <w:rPr>
              <w:noProof/>
              <w:sz w:val="16"/>
            </w:rPr>
            <w:t>1</w:t>
          </w:r>
          <w:r>
            <w:fldChar w:fldCharType="end"/>
          </w:r>
          <w:r>
            <w:rPr>
              <w:sz w:val="16"/>
            </w:rPr>
            <w:t xml:space="preserve"> / </w:t>
          </w:r>
          <w:fldSimple w:instr=" NUMPAGES   \* MERGEFORMAT ">
            <w:r w:rsidR="00703CC3" w:rsidRPr="00703CC3">
              <w:rPr>
                <w:noProof/>
                <w:sz w:val="16"/>
              </w:rPr>
              <w:t>3</w:t>
            </w:r>
          </w:fldSimple>
        </w:p>
      </w:tc>
    </w:tr>
  </w:tbl>
  <w:p w14:paraId="2370CE11" w14:textId="77777777" w:rsidR="00D11932" w:rsidRDefault="00D11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4CB01" w14:textId="77777777" w:rsidR="00D11932" w:rsidRDefault="00D11932" w:rsidP="00764006">
      <w:pPr>
        <w:spacing w:line="240" w:lineRule="auto"/>
      </w:pPr>
      <w:r>
        <w:separator/>
      </w:r>
    </w:p>
  </w:footnote>
  <w:footnote w:type="continuationSeparator" w:id="0">
    <w:p w14:paraId="261A1EB7" w14:textId="77777777" w:rsidR="00D11932" w:rsidRDefault="00D11932"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7B24" w14:textId="77777777" w:rsidR="00D11932" w:rsidRDefault="00D11932" w:rsidP="00764006">
    <w:pPr>
      <w:pStyle w:val="Kopfzeile"/>
      <w:jc w:val="right"/>
    </w:pPr>
    <w:r>
      <w:br/>
    </w:r>
  </w:p>
  <w:p w14:paraId="0792E4C8" w14:textId="77777777" w:rsidR="00D11932" w:rsidRPr="00C15D91" w:rsidRDefault="00D11932" w:rsidP="00C00CC7">
    <w:pPr>
      <w:pStyle w:val="Dokumententitel"/>
    </w:pPr>
    <w:r>
      <w:drawing>
        <wp:anchor distT="0" distB="0" distL="114300" distR="114300" simplePos="0" relativeHeight="251658240" behindDoc="0" locked="0" layoutInCell="1" allowOverlap="1" wp14:anchorId="053EFEC6" wp14:editId="5CC0B30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B5FAE"/>
    <w:rsid w:val="000F504C"/>
    <w:rsid w:val="000F7D85"/>
    <w:rsid w:val="00102B91"/>
    <w:rsid w:val="0017018E"/>
    <w:rsid w:val="00183096"/>
    <w:rsid w:val="00193DF6"/>
    <w:rsid w:val="00197F40"/>
    <w:rsid w:val="001E7058"/>
    <w:rsid w:val="00222B47"/>
    <w:rsid w:val="00252CD7"/>
    <w:rsid w:val="0026426C"/>
    <w:rsid w:val="0026487A"/>
    <w:rsid w:val="00270603"/>
    <w:rsid w:val="00292EE3"/>
    <w:rsid w:val="002C1107"/>
    <w:rsid w:val="003266F8"/>
    <w:rsid w:val="00333AF8"/>
    <w:rsid w:val="003572A1"/>
    <w:rsid w:val="003A2448"/>
    <w:rsid w:val="003C503C"/>
    <w:rsid w:val="003E4E0B"/>
    <w:rsid w:val="003F7AB5"/>
    <w:rsid w:val="00427D66"/>
    <w:rsid w:val="00450B34"/>
    <w:rsid w:val="00454A8C"/>
    <w:rsid w:val="00470B0F"/>
    <w:rsid w:val="00483B36"/>
    <w:rsid w:val="005278C0"/>
    <w:rsid w:val="005A779C"/>
    <w:rsid w:val="005C208F"/>
    <w:rsid w:val="006118EE"/>
    <w:rsid w:val="0061647C"/>
    <w:rsid w:val="006225BA"/>
    <w:rsid w:val="00697486"/>
    <w:rsid w:val="00703CC3"/>
    <w:rsid w:val="007502BB"/>
    <w:rsid w:val="00764006"/>
    <w:rsid w:val="007B5207"/>
    <w:rsid w:val="007D0E42"/>
    <w:rsid w:val="00820B46"/>
    <w:rsid w:val="008406BD"/>
    <w:rsid w:val="00865F37"/>
    <w:rsid w:val="008A2ECC"/>
    <w:rsid w:val="008C62E5"/>
    <w:rsid w:val="009110D0"/>
    <w:rsid w:val="00911110"/>
    <w:rsid w:val="00953D37"/>
    <w:rsid w:val="009E1F97"/>
    <w:rsid w:val="009F0E5F"/>
    <w:rsid w:val="00A06F83"/>
    <w:rsid w:val="00A25CF4"/>
    <w:rsid w:val="00A52A37"/>
    <w:rsid w:val="00AD1E04"/>
    <w:rsid w:val="00AD3796"/>
    <w:rsid w:val="00AF5532"/>
    <w:rsid w:val="00B03B65"/>
    <w:rsid w:val="00B422A2"/>
    <w:rsid w:val="00B56A9C"/>
    <w:rsid w:val="00B57511"/>
    <w:rsid w:val="00C00CC7"/>
    <w:rsid w:val="00C076BC"/>
    <w:rsid w:val="00C13B31"/>
    <w:rsid w:val="00C15D91"/>
    <w:rsid w:val="00C23C65"/>
    <w:rsid w:val="00C86129"/>
    <w:rsid w:val="00CB2244"/>
    <w:rsid w:val="00D11932"/>
    <w:rsid w:val="00D90DAC"/>
    <w:rsid w:val="00DD417D"/>
    <w:rsid w:val="00E21CBA"/>
    <w:rsid w:val="00E21D57"/>
    <w:rsid w:val="00E34080"/>
    <w:rsid w:val="00E5322C"/>
    <w:rsid w:val="00E958F1"/>
    <w:rsid w:val="00E9766C"/>
    <w:rsid w:val="00EA50A1"/>
    <w:rsid w:val="00ED3142"/>
    <w:rsid w:val="00F234E8"/>
    <w:rsid w:val="00F52C5C"/>
    <w:rsid w:val="00F6247B"/>
    <w:rsid w:val="00F67890"/>
    <w:rsid w:val="00F75D82"/>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9D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2787</Characters>
  <Application>Microsoft Office Word</Application>
  <DocSecurity>4</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2015-06-02T08:02:00Z</cp:lastPrinted>
  <dcterms:created xsi:type="dcterms:W3CDTF">2016-04-11T14:24:00Z</dcterms:created>
  <dcterms:modified xsi:type="dcterms:W3CDTF">2016-04-11T14:24:00Z</dcterms:modified>
</cp:coreProperties>
</file>